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A2" w:rsidRPr="00F8448A" w:rsidRDefault="00E35FA4">
      <w:pPr>
        <w:autoSpaceDE w:val="0"/>
        <w:autoSpaceDN w:val="0"/>
        <w:adjustRightInd w:val="0"/>
        <w:snapToGrid w:val="0"/>
        <w:spacing w:line="440" w:lineRule="exact"/>
        <w:rPr>
          <w:sz w:val="24"/>
          <w:szCs w:val="20"/>
        </w:rPr>
      </w:pPr>
      <w:r w:rsidRPr="00AF732F">
        <w:rPr>
          <w:rFonts w:hint="eastAsia"/>
          <w:sz w:val="24"/>
          <w:szCs w:val="20"/>
        </w:rPr>
        <w:t>证券代码：</w:t>
      </w:r>
      <w:r w:rsidRPr="00AF732F">
        <w:rPr>
          <w:sz w:val="24"/>
          <w:szCs w:val="20"/>
        </w:rPr>
        <w:t>603131</w:t>
      </w:r>
      <w:r w:rsidRPr="00AF732F">
        <w:rPr>
          <w:sz w:val="24"/>
          <w:szCs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F732F">
        <w:rPr>
          <w:sz w:val="24"/>
          <w:szCs w:val="20"/>
        </w:rPr>
        <w:instrText>ADDIN CNKISM.UserStyle</w:instrText>
      </w:r>
      <w:r w:rsidRPr="00AF732F">
        <w:rPr>
          <w:sz w:val="24"/>
          <w:szCs w:val="20"/>
        </w:rPr>
      </w:r>
      <w:r w:rsidRPr="00AF732F">
        <w:rPr>
          <w:sz w:val="24"/>
          <w:szCs w:val="20"/>
        </w:rPr>
        <w:fldChar w:fldCharType="end"/>
      </w:r>
      <w:r w:rsidRPr="00AF732F">
        <w:rPr>
          <w:sz w:val="24"/>
          <w:szCs w:val="20"/>
        </w:rPr>
        <w:t xml:space="preserve">      </w:t>
      </w:r>
      <w:r w:rsidRPr="00AF732F">
        <w:rPr>
          <w:rFonts w:hint="eastAsia"/>
          <w:sz w:val="24"/>
          <w:szCs w:val="20"/>
        </w:rPr>
        <w:t xml:space="preserve"> </w:t>
      </w:r>
      <w:r w:rsidRPr="00AF732F">
        <w:rPr>
          <w:sz w:val="24"/>
          <w:szCs w:val="20"/>
        </w:rPr>
        <w:t xml:space="preserve">   </w:t>
      </w:r>
      <w:r w:rsidRPr="00AF732F">
        <w:rPr>
          <w:rFonts w:hint="eastAsia"/>
          <w:sz w:val="24"/>
          <w:szCs w:val="20"/>
        </w:rPr>
        <w:t>证券简称：上海沪工</w:t>
      </w:r>
      <w:r w:rsidRPr="00AF732F">
        <w:rPr>
          <w:sz w:val="24"/>
          <w:szCs w:val="20"/>
        </w:rPr>
        <w:t xml:space="preserve">       </w:t>
      </w:r>
      <w:r w:rsidRPr="00AF732F">
        <w:rPr>
          <w:rFonts w:hint="eastAsia"/>
          <w:sz w:val="24"/>
          <w:szCs w:val="20"/>
        </w:rPr>
        <w:t>公告编号：</w:t>
      </w:r>
      <w:r w:rsidRPr="00AF732F">
        <w:rPr>
          <w:sz w:val="24"/>
          <w:szCs w:val="20"/>
        </w:rPr>
        <w:t>202</w:t>
      </w:r>
      <w:r w:rsidR="00F06CC4">
        <w:rPr>
          <w:sz w:val="24"/>
          <w:szCs w:val="20"/>
        </w:rPr>
        <w:t>4-</w:t>
      </w:r>
      <w:r w:rsidR="00F8448A">
        <w:rPr>
          <w:sz w:val="24"/>
          <w:szCs w:val="20"/>
        </w:rPr>
        <w:t>035</w:t>
      </w:r>
      <w:bookmarkStart w:id="0" w:name="_GoBack"/>
      <w:bookmarkEnd w:id="0"/>
    </w:p>
    <w:p w:rsidR="00C131A2" w:rsidRDefault="00E35FA4">
      <w:pPr>
        <w:autoSpaceDE w:val="0"/>
        <w:autoSpaceDN w:val="0"/>
        <w:adjustRightInd w:val="0"/>
        <w:snapToGrid w:val="0"/>
        <w:spacing w:line="440" w:lineRule="exact"/>
        <w:rPr>
          <w:sz w:val="24"/>
          <w:szCs w:val="20"/>
        </w:rPr>
      </w:pPr>
      <w:r w:rsidRPr="00AF732F">
        <w:rPr>
          <w:rFonts w:hint="eastAsia"/>
          <w:sz w:val="24"/>
          <w:szCs w:val="20"/>
        </w:rPr>
        <w:t>债券代码：</w:t>
      </w:r>
      <w:r w:rsidRPr="00AF732F">
        <w:rPr>
          <w:sz w:val="24"/>
          <w:szCs w:val="20"/>
        </w:rPr>
        <w:t xml:space="preserve">113593      </w:t>
      </w:r>
      <w:r w:rsidRPr="00AF732F">
        <w:rPr>
          <w:rFonts w:hint="eastAsia"/>
          <w:sz w:val="24"/>
          <w:szCs w:val="20"/>
        </w:rPr>
        <w:t xml:space="preserve"> </w:t>
      </w:r>
      <w:r w:rsidRPr="00AF732F">
        <w:rPr>
          <w:sz w:val="24"/>
          <w:szCs w:val="20"/>
        </w:rPr>
        <w:t xml:space="preserve">   </w:t>
      </w:r>
      <w:r w:rsidRPr="00AF732F">
        <w:rPr>
          <w:rFonts w:hint="eastAsia"/>
          <w:sz w:val="24"/>
          <w:szCs w:val="20"/>
        </w:rPr>
        <w:t>债券简称：沪工转债</w:t>
      </w:r>
    </w:p>
    <w:p w:rsidR="00C131A2" w:rsidRPr="00AF732F" w:rsidRDefault="00E35FA4" w:rsidP="00825DC1">
      <w:pPr>
        <w:snapToGrid w:val="0"/>
        <w:spacing w:beforeLines="50" w:before="156"/>
        <w:jc w:val="center"/>
        <w:rPr>
          <w:b/>
          <w:bCs/>
          <w:color w:val="FF0000"/>
          <w:sz w:val="36"/>
          <w:szCs w:val="36"/>
        </w:rPr>
      </w:pPr>
      <w:r w:rsidRPr="00AF732F">
        <w:rPr>
          <w:rFonts w:hint="eastAsia"/>
          <w:b/>
          <w:bCs/>
          <w:color w:val="FF0000"/>
          <w:sz w:val="36"/>
          <w:szCs w:val="36"/>
        </w:rPr>
        <w:t>上海沪工焊接集团</w:t>
      </w:r>
      <w:r w:rsidRPr="00AF732F">
        <w:rPr>
          <w:b/>
          <w:bCs/>
          <w:color w:val="FF0000"/>
          <w:sz w:val="36"/>
          <w:szCs w:val="36"/>
        </w:rPr>
        <w:t>股份有限公司</w:t>
      </w:r>
    </w:p>
    <w:p w:rsidR="00C131A2" w:rsidRPr="00AF732F" w:rsidRDefault="00E35FA4" w:rsidP="00D4691C">
      <w:pPr>
        <w:snapToGrid w:val="0"/>
        <w:spacing w:afterLines="50" w:after="156"/>
        <w:jc w:val="center"/>
        <w:rPr>
          <w:b/>
          <w:bCs/>
          <w:color w:val="FF0000"/>
          <w:sz w:val="36"/>
          <w:szCs w:val="36"/>
        </w:rPr>
      </w:pPr>
      <w:r w:rsidRPr="00AF732F">
        <w:rPr>
          <w:rFonts w:hint="eastAsia"/>
          <w:b/>
          <w:bCs/>
          <w:color w:val="FF0000"/>
          <w:sz w:val="36"/>
          <w:szCs w:val="36"/>
        </w:rPr>
        <w:t>关于“沪工转债”转股结果暨股份变动公告</w:t>
      </w:r>
    </w:p>
    <w:p w:rsidR="00C131A2" w:rsidRPr="00AF732F" w:rsidRDefault="00E35FA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color w:val="000000"/>
          <w:sz w:val="24"/>
        </w:rPr>
      </w:pPr>
      <w:r w:rsidRPr="00AF732F">
        <w:rPr>
          <w:color w:val="000000"/>
          <w:sz w:val="24"/>
        </w:rPr>
        <w:t>本公司董事会及全体董事保证本公告内容不存在任何虚假记载、误导性陈述或者重大遗漏，并对其内容的真实性、准确性和完整性</w:t>
      </w:r>
      <w:r w:rsidR="00F06CC4">
        <w:rPr>
          <w:rFonts w:hint="eastAsia"/>
          <w:color w:val="000000"/>
          <w:sz w:val="24"/>
        </w:rPr>
        <w:t>依法</w:t>
      </w:r>
      <w:r w:rsidRPr="00AF732F">
        <w:rPr>
          <w:color w:val="000000"/>
          <w:sz w:val="24"/>
        </w:rPr>
        <w:t>承担</w:t>
      </w:r>
      <w:r w:rsidRPr="00AF732F">
        <w:rPr>
          <w:rFonts w:hint="eastAsia"/>
          <w:color w:val="000000"/>
          <w:sz w:val="24"/>
        </w:rPr>
        <w:t>法律</w:t>
      </w:r>
      <w:r w:rsidRPr="00AF732F">
        <w:rPr>
          <w:color w:val="000000"/>
          <w:sz w:val="24"/>
        </w:rPr>
        <w:t>责任。</w:t>
      </w:r>
    </w:p>
    <w:p w:rsidR="00C131A2" w:rsidRPr="000F7C37" w:rsidRDefault="00E35FA4" w:rsidP="00825DC1">
      <w:pPr>
        <w:adjustRightInd w:val="0"/>
        <w:snapToGrid w:val="0"/>
        <w:spacing w:beforeLines="50" w:before="156" w:line="360" w:lineRule="auto"/>
        <w:ind w:firstLineChars="200" w:firstLine="482"/>
        <w:rPr>
          <w:rFonts w:asciiTheme="minorEastAsia" w:eastAsiaTheme="minorEastAsia" w:hAnsiTheme="minorEastAsia"/>
          <w:b/>
          <w:sz w:val="24"/>
        </w:rPr>
      </w:pPr>
      <w:r w:rsidRPr="000F7C37">
        <w:rPr>
          <w:rFonts w:asciiTheme="minorEastAsia" w:eastAsiaTheme="minorEastAsia" w:hAnsiTheme="minorEastAsia" w:hint="eastAsia"/>
          <w:b/>
          <w:sz w:val="24"/>
        </w:rPr>
        <w:t>重要内容提示：</w:t>
      </w:r>
    </w:p>
    <w:p w:rsidR="00C131A2" w:rsidRPr="000F7C37" w:rsidRDefault="00E35FA4" w:rsidP="00C21082">
      <w:pPr>
        <w:numPr>
          <w:ilvl w:val="0"/>
          <w:numId w:val="1"/>
        </w:numPr>
        <w:adjustRightInd w:val="0"/>
        <w:snapToGrid w:val="0"/>
        <w:spacing w:line="360" w:lineRule="auto"/>
        <w:ind w:left="0"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累计转股情况：截至202</w:t>
      </w:r>
      <w:r w:rsidR="00BC1BF8" w:rsidRPr="000F7C37">
        <w:rPr>
          <w:rFonts w:asciiTheme="minorEastAsia" w:eastAsiaTheme="minorEastAsia" w:hAnsiTheme="minorEastAsia"/>
          <w:sz w:val="24"/>
        </w:rPr>
        <w:t>4</w:t>
      </w:r>
      <w:r w:rsidRPr="000F7C37">
        <w:rPr>
          <w:rFonts w:asciiTheme="minorEastAsia" w:eastAsiaTheme="minorEastAsia" w:hAnsiTheme="minorEastAsia" w:hint="eastAsia"/>
          <w:sz w:val="24"/>
        </w:rPr>
        <w:t>年</w:t>
      </w:r>
      <w:r w:rsidR="006C4AAA">
        <w:rPr>
          <w:rFonts w:asciiTheme="minorEastAsia" w:eastAsiaTheme="minorEastAsia" w:hAnsiTheme="minorEastAsia"/>
          <w:sz w:val="24"/>
        </w:rPr>
        <w:t>6</w:t>
      </w:r>
      <w:r w:rsidRPr="000F7C37">
        <w:rPr>
          <w:rFonts w:asciiTheme="minorEastAsia" w:eastAsiaTheme="minorEastAsia" w:hAnsiTheme="minorEastAsia" w:hint="eastAsia"/>
          <w:sz w:val="24"/>
        </w:rPr>
        <w:t>月</w:t>
      </w:r>
      <w:r w:rsidR="006C4AAA">
        <w:rPr>
          <w:rFonts w:asciiTheme="minorEastAsia" w:eastAsiaTheme="minorEastAsia" w:hAnsiTheme="minorEastAsia"/>
          <w:sz w:val="24"/>
        </w:rPr>
        <w:t>30</w:t>
      </w:r>
      <w:r w:rsidRPr="000F7C37">
        <w:rPr>
          <w:rFonts w:asciiTheme="minorEastAsia" w:eastAsiaTheme="minorEastAsia" w:hAnsiTheme="minorEastAsia" w:hint="eastAsia"/>
          <w:sz w:val="24"/>
        </w:rPr>
        <w:t>日，“沪工转债”累计有人民币</w:t>
      </w:r>
      <w:r w:rsidR="00C21082" w:rsidRPr="00C21082">
        <w:rPr>
          <w:rFonts w:asciiTheme="minorEastAsia" w:eastAsiaTheme="minorEastAsia" w:hAnsiTheme="minorEastAsia"/>
          <w:sz w:val="24"/>
        </w:rPr>
        <w:t>354</w:t>
      </w:r>
      <w:r w:rsidR="00C21082">
        <w:rPr>
          <w:rFonts w:asciiTheme="minorEastAsia" w:eastAsiaTheme="minorEastAsia" w:hAnsiTheme="minorEastAsia"/>
          <w:sz w:val="24"/>
        </w:rPr>
        <w:t>,</w:t>
      </w:r>
      <w:r w:rsidR="00C21082" w:rsidRPr="00C21082">
        <w:rPr>
          <w:rFonts w:asciiTheme="minorEastAsia" w:eastAsiaTheme="minorEastAsia" w:hAnsiTheme="minorEastAsia"/>
          <w:sz w:val="24"/>
        </w:rPr>
        <w:t>000</w:t>
      </w:r>
      <w:r w:rsidRPr="000F7C37">
        <w:rPr>
          <w:rFonts w:asciiTheme="minorEastAsia" w:eastAsiaTheme="minorEastAsia" w:hAnsiTheme="minorEastAsia" w:hint="eastAsia"/>
          <w:sz w:val="24"/>
        </w:rPr>
        <w:t>元转换为公司股份，转股数量为</w:t>
      </w:r>
      <w:r w:rsidR="00C21082" w:rsidRPr="00C21082">
        <w:rPr>
          <w:rFonts w:asciiTheme="minorEastAsia" w:eastAsiaTheme="minorEastAsia" w:hAnsiTheme="minorEastAsia"/>
          <w:sz w:val="24"/>
        </w:rPr>
        <w:t>16</w:t>
      </w:r>
      <w:r w:rsidR="00C21082">
        <w:rPr>
          <w:rFonts w:asciiTheme="minorEastAsia" w:eastAsiaTheme="minorEastAsia" w:hAnsiTheme="minorEastAsia"/>
          <w:sz w:val="24"/>
        </w:rPr>
        <w:t>,</w:t>
      </w:r>
      <w:r w:rsidR="00C21082" w:rsidRPr="00C21082">
        <w:rPr>
          <w:rFonts w:asciiTheme="minorEastAsia" w:eastAsiaTheme="minorEastAsia" w:hAnsiTheme="minorEastAsia"/>
          <w:sz w:val="24"/>
        </w:rPr>
        <w:t>664</w:t>
      </w:r>
      <w:r w:rsidRPr="000F7C37">
        <w:rPr>
          <w:rFonts w:asciiTheme="minorEastAsia" w:eastAsiaTheme="minorEastAsia" w:hAnsiTheme="minorEastAsia" w:hint="eastAsia"/>
          <w:sz w:val="24"/>
        </w:rPr>
        <w:t>股，占转股前公司已发行股份总额的</w:t>
      </w:r>
      <w:r w:rsidR="00C21082">
        <w:rPr>
          <w:rFonts w:asciiTheme="minorEastAsia" w:eastAsiaTheme="minorEastAsia" w:hAnsiTheme="minorEastAsia" w:hint="eastAsia"/>
          <w:sz w:val="24"/>
        </w:rPr>
        <w:t>0.00</w:t>
      </w:r>
      <w:r w:rsidR="00C21082">
        <w:rPr>
          <w:rFonts w:asciiTheme="minorEastAsia" w:eastAsiaTheme="minorEastAsia" w:hAnsiTheme="minorEastAsia"/>
          <w:sz w:val="24"/>
        </w:rPr>
        <w:t>52</w:t>
      </w:r>
      <w:r w:rsidRPr="000F7C37">
        <w:rPr>
          <w:rFonts w:asciiTheme="minorEastAsia" w:eastAsiaTheme="minorEastAsia" w:hAnsiTheme="minorEastAsia" w:hint="eastAsia"/>
          <w:sz w:val="24"/>
        </w:rPr>
        <w:t>%。</w:t>
      </w:r>
    </w:p>
    <w:p w:rsidR="00C131A2" w:rsidRPr="000F7C37" w:rsidRDefault="00E35FA4" w:rsidP="00C21082">
      <w:pPr>
        <w:numPr>
          <w:ilvl w:val="0"/>
          <w:numId w:val="1"/>
        </w:numPr>
        <w:adjustRightInd w:val="0"/>
        <w:snapToGrid w:val="0"/>
        <w:spacing w:line="360" w:lineRule="auto"/>
        <w:ind w:left="0"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未转股可转债情况：截至</w:t>
      </w:r>
      <w:r w:rsidR="00BC1BF8" w:rsidRPr="000F7C37">
        <w:rPr>
          <w:rFonts w:asciiTheme="minorEastAsia" w:eastAsiaTheme="minorEastAsia" w:hAnsiTheme="minorEastAsia" w:hint="eastAsia"/>
          <w:sz w:val="24"/>
        </w:rPr>
        <w:t>202</w:t>
      </w:r>
      <w:r w:rsidR="00BC1BF8" w:rsidRPr="000F7C37">
        <w:rPr>
          <w:rFonts w:asciiTheme="minorEastAsia" w:eastAsiaTheme="minorEastAsia" w:hAnsiTheme="minorEastAsia"/>
          <w:sz w:val="24"/>
        </w:rPr>
        <w:t>4</w:t>
      </w:r>
      <w:r w:rsidR="00BC1BF8" w:rsidRPr="000F7C37">
        <w:rPr>
          <w:rFonts w:asciiTheme="minorEastAsia" w:eastAsiaTheme="minorEastAsia" w:hAnsiTheme="minorEastAsia" w:hint="eastAsia"/>
          <w:sz w:val="24"/>
        </w:rPr>
        <w:t>年</w:t>
      </w:r>
      <w:r w:rsidR="006C4AAA">
        <w:rPr>
          <w:rFonts w:asciiTheme="minorEastAsia" w:eastAsiaTheme="minorEastAsia" w:hAnsiTheme="minorEastAsia"/>
          <w:sz w:val="24"/>
        </w:rPr>
        <w:t>6</w:t>
      </w:r>
      <w:r w:rsidR="00BC1BF8" w:rsidRPr="000F7C37">
        <w:rPr>
          <w:rFonts w:asciiTheme="minorEastAsia" w:eastAsiaTheme="minorEastAsia" w:hAnsiTheme="minorEastAsia" w:hint="eastAsia"/>
          <w:sz w:val="24"/>
        </w:rPr>
        <w:t>月</w:t>
      </w:r>
      <w:r w:rsidR="006C4AAA">
        <w:rPr>
          <w:rFonts w:asciiTheme="minorEastAsia" w:eastAsiaTheme="minorEastAsia" w:hAnsiTheme="minorEastAsia"/>
          <w:sz w:val="24"/>
        </w:rPr>
        <w:t>30</w:t>
      </w:r>
      <w:r w:rsidR="00BC1BF8" w:rsidRPr="000F7C37">
        <w:rPr>
          <w:rFonts w:asciiTheme="minorEastAsia" w:eastAsiaTheme="minorEastAsia" w:hAnsiTheme="minorEastAsia" w:hint="eastAsia"/>
          <w:sz w:val="24"/>
        </w:rPr>
        <w:t>日</w:t>
      </w:r>
      <w:r w:rsidRPr="000F7C37">
        <w:rPr>
          <w:rFonts w:asciiTheme="minorEastAsia" w:eastAsiaTheme="minorEastAsia" w:hAnsiTheme="minorEastAsia" w:hint="eastAsia"/>
          <w:sz w:val="24"/>
        </w:rPr>
        <w:t>，尚未转股的“沪工转债”金额为人民币</w:t>
      </w:r>
      <w:r w:rsidR="00C21082" w:rsidRPr="00C21082">
        <w:rPr>
          <w:rFonts w:asciiTheme="minorEastAsia" w:eastAsiaTheme="minorEastAsia" w:hAnsiTheme="minorEastAsia"/>
          <w:sz w:val="24"/>
        </w:rPr>
        <w:t>399,646,000</w:t>
      </w:r>
      <w:r w:rsidRPr="000F7C37">
        <w:rPr>
          <w:rFonts w:asciiTheme="minorEastAsia" w:eastAsiaTheme="minorEastAsia" w:hAnsiTheme="minorEastAsia" w:hint="eastAsia"/>
          <w:sz w:val="24"/>
        </w:rPr>
        <w:t>元，占发行总量的</w:t>
      </w:r>
      <w:r w:rsidR="00C21082">
        <w:rPr>
          <w:rFonts w:asciiTheme="minorEastAsia" w:eastAsiaTheme="minorEastAsia" w:hAnsiTheme="minorEastAsia" w:hint="eastAsia"/>
          <w:sz w:val="24"/>
        </w:rPr>
        <w:t>9</w:t>
      </w:r>
      <w:r w:rsidR="00C21082">
        <w:rPr>
          <w:rFonts w:asciiTheme="minorEastAsia" w:eastAsiaTheme="minorEastAsia" w:hAnsiTheme="minorEastAsia"/>
          <w:sz w:val="24"/>
        </w:rPr>
        <w:t>9.91</w:t>
      </w:r>
      <w:r w:rsidRPr="000F7C37">
        <w:rPr>
          <w:rFonts w:asciiTheme="minorEastAsia" w:eastAsiaTheme="minorEastAsia" w:hAnsiTheme="minorEastAsia"/>
          <w:sz w:val="24"/>
        </w:rPr>
        <w:t>%</w:t>
      </w:r>
      <w:r w:rsidRPr="000F7C37">
        <w:rPr>
          <w:rFonts w:asciiTheme="minorEastAsia" w:eastAsiaTheme="minorEastAsia" w:hAnsiTheme="minorEastAsia" w:hint="eastAsia"/>
          <w:sz w:val="24"/>
        </w:rPr>
        <w:t>。</w:t>
      </w:r>
    </w:p>
    <w:p w:rsidR="00E35FA4" w:rsidRPr="000F7C37" w:rsidRDefault="00E35FA4" w:rsidP="00F068FB">
      <w:pPr>
        <w:numPr>
          <w:ilvl w:val="0"/>
          <w:numId w:val="1"/>
        </w:numPr>
        <w:adjustRightInd w:val="0"/>
        <w:snapToGrid w:val="0"/>
        <w:spacing w:line="360" w:lineRule="auto"/>
        <w:ind w:left="0"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本季度转股</w:t>
      </w:r>
      <w:r w:rsidRPr="000F7C37">
        <w:rPr>
          <w:rFonts w:asciiTheme="minorEastAsia" w:eastAsiaTheme="minorEastAsia" w:hAnsiTheme="minorEastAsia"/>
          <w:sz w:val="24"/>
        </w:rPr>
        <w:t>情况：</w:t>
      </w:r>
      <w:r w:rsidRPr="000F7C37">
        <w:rPr>
          <w:rFonts w:asciiTheme="minorEastAsia" w:eastAsiaTheme="minorEastAsia" w:hAnsiTheme="minorEastAsia" w:hint="eastAsia"/>
          <w:sz w:val="24"/>
        </w:rPr>
        <w:t>本季度，“沪工转债”转股金额为</w:t>
      </w:r>
      <w:r w:rsidR="00C21082">
        <w:rPr>
          <w:rFonts w:asciiTheme="minorEastAsia" w:eastAsiaTheme="minorEastAsia" w:hAnsiTheme="minorEastAsia" w:hint="eastAsia"/>
          <w:sz w:val="24"/>
        </w:rPr>
        <w:t>6</w:t>
      </w:r>
      <w:r w:rsidR="00C21082">
        <w:rPr>
          <w:rFonts w:asciiTheme="minorEastAsia" w:eastAsiaTheme="minorEastAsia" w:hAnsiTheme="minorEastAsia"/>
          <w:sz w:val="24"/>
        </w:rPr>
        <w:t>,</w:t>
      </w:r>
      <w:r w:rsidR="00C21082">
        <w:rPr>
          <w:rFonts w:asciiTheme="minorEastAsia" w:eastAsiaTheme="minorEastAsia" w:hAnsiTheme="minorEastAsia" w:hint="eastAsia"/>
          <w:sz w:val="24"/>
        </w:rPr>
        <w:t>000</w:t>
      </w:r>
      <w:r w:rsidRPr="000F7C37">
        <w:rPr>
          <w:rFonts w:asciiTheme="minorEastAsia" w:eastAsiaTheme="minorEastAsia" w:hAnsiTheme="minorEastAsia" w:hint="eastAsia"/>
          <w:sz w:val="24"/>
        </w:rPr>
        <w:t>元，因转股形成的股份数量为</w:t>
      </w:r>
      <w:r w:rsidR="00C21082">
        <w:rPr>
          <w:rFonts w:asciiTheme="minorEastAsia" w:eastAsiaTheme="minorEastAsia" w:hAnsiTheme="minorEastAsia" w:hint="eastAsia"/>
          <w:sz w:val="24"/>
        </w:rPr>
        <w:t>2</w:t>
      </w:r>
      <w:r w:rsidR="00C21082">
        <w:rPr>
          <w:rFonts w:asciiTheme="minorEastAsia" w:eastAsiaTheme="minorEastAsia" w:hAnsiTheme="minorEastAsia"/>
          <w:sz w:val="24"/>
        </w:rPr>
        <w:t>84</w:t>
      </w:r>
      <w:r w:rsidRPr="000F7C37">
        <w:rPr>
          <w:rFonts w:asciiTheme="minorEastAsia" w:eastAsiaTheme="minorEastAsia" w:hAnsiTheme="minorEastAsia" w:hint="eastAsia"/>
          <w:sz w:val="24"/>
        </w:rPr>
        <w:t>股。</w:t>
      </w:r>
    </w:p>
    <w:p w:rsidR="001F3B81" w:rsidRPr="000F7C37" w:rsidRDefault="001F3B81" w:rsidP="001F3B81">
      <w:pPr>
        <w:tabs>
          <w:tab w:val="left" w:pos="420"/>
        </w:tabs>
        <w:adjustRightInd w:val="0"/>
        <w:snapToGrid w:val="0"/>
        <w:spacing w:line="360" w:lineRule="auto"/>
        <w:ind w:left="480"/>
        <w:rPr>
          <w:rFonts w:asciiTheme="minorEastAsia" w:eastAsiaTheme="minorEastAsia" w:hAnsiTheme="minorEastAsia"/>
          <w:sz w:val="24"/>
        </w:rPr>
      </w:pPr>
    </w:p>
    <w:p w:rsidR="00C131A2" w:rsidRPr="000F7C37" w:rsidRDefault="00E35FA4" w:rsidP="00B131B2">
      <w:pPr>
        <w:adjustRightInd w:val="0"/>
        <w:snapToGrid w:val="0"/>
        <w:spacing w:line="360" w:lineRule="auto"/>
        <w:ind w:left="482"/>
        <w:rPr>
          <w:rFonts w:asciiTheme="minorEastAsia" w:eastAsiaTheme="minorEastAsia" w:hAnsiTheme="minorEastAsia"/>
          <w:b/>
          <w:sz w:val="24"/>
        </w:rPr>
      </w:pPr>
      <w:r w:rsidRPr="000F7C37">
        <w:rPr>
          <w:rFonts w:asciiTheme="minorEastAsia" w:eastAsiaTheme="minorEastAsia" w:hAnsiTheme="minorEastAsia" w:hint="eastAsia"/>
          <w:b/>
          <w:sz w:val="24"/>
        </w:rPr>
        <w:t>一、可转债发行上市概况</w:t>
      </w:r>
    </w:p>
    <w:p w:rsidR="00C131A2" w:rsidRPr="000F7C37" w:rsidRDefault="00E35FA4" w:rsidP="00B131B2">
      <w:pPr>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经中国证券监督管理委员会出具的《关于核准上海沪工焊接集团股份有限公司公开发行可转换公司债券的批复》（证监许可[2020]983号）核准，上海沪工焊接集团股份有限公司（以下简称“公司”）于2020年7月20日公开发行可转换公司债券40</w:t>
      </w:r>
      <w:r w:rsidRPr="000F7C37">
        <w:rPr>
          <w:rFonts w:asciiTheme="minorEastAsia" w:eastAsiaTheme="minorEastAsia" w:hAnsiTheme="minorEastAsia" w:hint="eastAsia"/>
          <w:color w:val="000000" w:themeColor="text1"/>
          <w:sz w:val="24"/>
        </w:rPr>
        <w:t>0万张，每张面值100元人民币，发行总额40,000.00万元，</w:t>
      </w:r>
      <w:r w:rsidRPr="000F7C37">
        <w:rPr>
          <w:rFonts w:asciiTheme="minorEastAsia" w:eastAsiaTheme="minorEastAsia" w:hAnsiTheme="minorEastAsia"/>
          <w:color w:val="000000" w:themeColor="text1"/>
          <w:sz w:val="24"/>
        </w:rPr>
        <w:t>本次发行的可转债票面利率为：第一年0.40%、第二年0.60%、第三年1.20%、第四年2.00%、第五年2.40%、第六年2.80%</w:t>
      </w:r>
      <w:r w:rsidRPr="000F7C37">
        <w:rPr>
          <w:rFonts w:asciiTheme="minorEastAsia" w:eastAsiaTheme="minorEastAsia" w:hAnsiTheme="minorEastAsia" w:hint="eastAsia"/>
          <w:color w:val="000000" w:themeColor="text1"/>
          <w:sz w:val="24"/>
        </w:rPr>
        <w:t>，期限为发行之日起6年。</w:t>
      </w:r>
    </w:p>
    <w:p w:rsidR="00C131A2" w:rsidRPr="000F7C37" w:rsidRDefault="00E35FA4" w:rsidP="00B131B2">
      <w:pPr>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sz w:val="24"/>
        </w:rPr>
        <w:t>经上海证券交易所自律监管决定书[2020]239号文同意，公司</w:t>
      </w:r>
      <w:r w:rsidRPr="000F7C37">
        <w:rPr>
          <w:rFonts w:asciiTheme="minorEastAsia" w:eastAsiaTheme="minorEastAsia" w:hAnsiTheme="minorEastAsia" w:hint="eastAsia"/>
          <w:sz w:val="24"/>
        </w:rPr>
        <w:t>本次</w:t>
      </w:r>
      <w:r w:rsidRPr="000F7C37">
        <w:rPr>
          <w:rFonts w:asciiTheme="minorEastAsia" w:eastAsiaTheme="minorEastAsia" w:hAnsiTheme="minorEastAsia"/>
          <w:sz w:val="24"/>
        </w:rPr>
        <w:t>发行的40,000.00万元可转换公司债券于2020</w:t>
      </w:r>
      <w:r w:rsidRPr="000F7C37">
        <w:rPr>
          <w:rFonts w:asciiTheme="minorEastAsia" w:eastAsiaTheme="minorEastAsia" w:hAnsiTheme="minorEastAsia" w:hint="eastAsia"/>
          <w:sz w:val="24"/>
        </w:rPr>
        <w:t>年8月10日</w:t>
      </w:r>
      <w:r w:rsidRPr="000F7C37">
        <w:rPr>
          <w:rFonts w:asciiTheme="minorEastAsia" w:eastAsiaTheme="minorEastAsia" w:hAnsiTheme="minorEastAsia"/>
          <w:sz w:val="24"/>
        </w:rPr>
        <w:t>起在上海证券交易所</w:t>
      </w:r>
      <w:r w:rsidRPr="000F7C37">
        <w:rPr>
          <w:rFonts w:asciiTheme="minorEastAsia" w:eastAsiaTheme="minorEastAsia" w:hAnsiTheme="minorEastAsia" w:hint="eastAsia"/>
          <w:sz w:val="24"/>
        </w:rPr>
        <w:t>上市</w:t>
      </w:r>
      <w:r w:rsidRPr="000F7C37">
        <w:rPr>
          <w:rFonts w:asciiTheme="minorEastAsia" w:eastAsiaTheme="minorEastAsia" w:hAnsiTheme="minorEastAsia"/>
          <w:sz w:val="24"/>
        </w:rPr>
        <w:t>交易，债券简称</w:t>
      </w:r>
      <w:r w:rsidRPr="000F7C37">
        <w:rPr>
          <w:rFonts w:asciiTheme="minorEastAsia" w:eastAsiaTheme="minorEastAsia" w:hAnsiTheme="minorEastAsia" w:hint="eastAsia"/>
          <w:sz w:val="24"/>
        </w:rPr>
        <w:t>“沪工</w:t>
      </w:r>
      <w:r w:rsidRPr="000F7C37">
        <w:rPr>
          <w:rFonts w:asciiTheme="minorEastAsia" w:eastAsiaTheme="minorEastAsia" w:hAnsiTheme="minorEastAsia"/>
          <w:sz w:val="24"/>
        </w:rPr>
        <w:t>转债</w:t>
      </w:r>
      <w:r w:rsidRPr="000F7C37">
        <w:rPr>
          <w:rFonts w:asciiTheme="minorEastAsia" w:eastAsiaTheme="minorEastAsia" w:hAnsiTheme="minorEastAsia" w:hint="eastAsia"/>
          <w:sz w:val="24"/>
        </w:rPr>
        <w:t>”</w:t>
      </w:r>
      <w:r w:rsidRPr="000F7C37">
        <w:rPr>
          <w:rFonts w:asciiTheme="minorEastAsia" w:eastAsiaTheme="minorEastAsia" w:hAnsiTheme="minorEastAsia"/>
          <w:sz w:val="24"/>
        </w:rPr>
        <w:t>，债券代码</w:t>
      </w:r>
      <w:r w:rsidRPr="000F7C37">
        <w:rPr>
          <w:rFonts w:asciiTheme="minorEastAsia" w:eastAsiaTheme="minorEastAsia" w:hAnsiTheme="minorEastAsia" w:hint="eastAsia"/>
          <w:sz w:val="24"/>
        </w:rPr>
        <w:t>“113593”</w:t>
      </w:r>
      <w:r w:rsidRPr="000F7C37">
        <w:rPr>
          <w:rFonts w:asciiTheme="minorEastAsia" w:eastAsiaTheme="minorEastAsia" w:hAnsiTheme="minorEastAsia"/>
          <w:sz w:val="24"/>
        </w:rPr>
        <w:t>。</w:t>
      </w:r>
    </w:p>
    <w:p w:rsidR="00C131A2" w:rsidRPr="000F7C37" w:rsidRDefault="00E35FA4" w:rsidP="00B131B2">
      <w:pPr>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根据《上海证券交易所股票上市规则》的相关规定和《上海沪工焊接集团股份有限公司公开发行A股可转换公司债券募集说明书》（以下简称“《募集说明书》”）的约定，“沪工转债”自2021年1月25日起可转换为公司股份，初始转股价格为21.32元/股</w:t>
      </w:r>
      <w:r w:rsidR="008905B6" w:rsidRPr="000F7C37">
        <w:rPr>
          <w:rFonts w:asciiTheme="minorEastAsia" w:eastAsiaTheme="minorEastAsia" w:hAnsiTheme="minorEastAsia" w:hint="eastAsia"/>
          <w:sz w:val="24"/>
        </w:rPr>
        <w:t>，</w:t>
      </w:r>
      <w:r w:rsidRPr="000F7C37">
        <w:rPr>
          <w:rFonts w:asciiTheme="minorEastAsia" w:eastAsiaTheme="minorEastAsia" w:hAnsiTheme="minorEastAsia" w:hint="eastAsia"/>
          <w:sz w:val="24"/>
        </w:rPr>
        <w:t>详见公司披露于上海证券交易所网站的《关于“沪工转</w:t>
      </w:r>
      <w:r w:rsidRPr="000F7C37">
        <w:rPr>
          <w:rFonts w:asciiTheme="minorEastAsia" w:eastAsiaTheme="minorEastAsia" w:hAnsiTheme="minorEastAsia" w:hint="eastAsia"/>
          <w:sz w:val="24"/>
        </w:rPr>
        <w:lastRenderedPageBreak/>
        <w:t>债”开始转股的公告》（公告编号：2021-005）。</w:t>
      </w:r>
    </w:p>
    <w:p w:rsidR="00C131A2" w:rsidRPr="000F7C37" w:rsidRDefault="00E35FA4" w:rsidP="00B131B2">
      <w:pPr>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因公司实施2020年年度利润分配，</w:t>
      </w:r>
      <w:r w:rsidRPr="000F7C37">
        <w:rPr>
          <w:rFonts w:asciiTheme="minorEastAsia" w:eastAsiaTheme="minorEastAsia" w:hAnsiTheme="minorEastAsia"/>
          <w:sz w:val="24"/>
        </w:rPr>
        <w:t>转股</w:t>
      </w:r>
      <w:r w:rsidRPr="000F7C37">
        <w:rPr>
          <w:rFonts w:asciiTheme="minorEastAsia" w:eastAsiaTheme="minorEastAsia" w:hAnsiTheme="minorEastAsia" w:hint="eastAsia"/>
          <w:sz w:val="24"/>
        </w:rPr>
        <w:t>价格自2021年6月10日起调整为21.12元/股，</w:t>
      </w:r>
      <w:r w:rsidRPr="000F7C37">
        <w:rPr>
          <w:rFonts w:asciiTheme="minorEastAsia" w:eastAsiaTheme="minorEastAsia" w:hAnsiTheme="minorEastAsia"/>
          <w:sz w:val="24"/>
        </w:rPr>
        <w:t>具体</w:t>
      </w:r>
      <w:r w:rsidRPr="000F7C37">
        <w:rPr>
          <w:rFonts w:asciiTheme="minorEastAsia" w:eastAsiaTheme="minorEastAsia" w:hAnsiTheme="minorEastAsia" w:hint="eastAsia"/>
          <w:sz w:val="24"/>
        </w:rPr>
        <w:t>内容详见公司披露于上海证券交易所网站的《关于“沪工转债”转股价格调整的公告</w:t>
      </w:r>
      <w:r w:rsidRPr="000F7C37">
        <w:rPr>
          <w:rFonts w:asciiTheme="minorEastAsia" w:eastAsiaTheme="minorEastAsia" w:hAnsiTheme="minorEastAsia"/>
          <w:sz w:val="24"/>
        </w:rPr>
        <w:t>》</w:t>
      </w:r>
      <w:r w:rsidRPr="000F7C37">
        <w:rPr>
          <w:rFonts w:asciiTheme="minorEastAsia" w:eastAsiaTheme="minorEastAsia" w:hAnsiTheme="minorEastAsia" w:hint="eastAsia"/>
          <w:sz w:val="24"/>
        </w:rPr>
        <w:t>（公告编号：2021</w:t>
      </w:r>
      <w:r w:rsidRPr="000F7C37">
        <w:rPr>
          <w:rFonts w:asciiTheme="minorEastAsia" w:eastAsiaTheme="minorEastAsia" w:hAnsiTheme="minorEastAsia"/>
          <w:sz w:val="24"/>
        </w:rPr>
        <w:t>-</w:t>
      </w:r>
      <w:r w:rsidRPr="000F7C37">
        <w:rPr>
          <w:rFonts w:asciiTheme="minorEastAsia" w:eastAsiaTheme="minorEastAsia" w:hAnsiTheme="minorEastAsia" w:hint="eastAsia"/>
          <w:sz w:val="24"/>
        </w:rPr>
        <w:t>0</w:t>
      </w:r>
      <w:r w:rsidRPr="000F7C37">
        <w:rPr>
          <w:rFonts w:asciiTheme="minorEastAsia" w:eastAsiaTheme="minorEastAsia" w:hAnsiTheme="minorEastAsia"/>
          <w:sz w:val="24"/>
        </w:rPr>
        <w:t>34）</w:t>
      </w:r>
      <w:r w:rsidRPr="000F7C37">
        <w:rPr>
          <w:rFonts w:asciiTheme="minorEastAsia" w:eastAsiaTheme="minorEastAsia" w:hAnsiTheme="minorEastAsia" w:hint="eastAsia"/>
          <w:sz w:val="24"/>
        </w:rPr>
        <w:t>。</w:t>
      </w:r>
    </w:p>
    <w:p w:rsidR="00C131A2" w:rsidRPr="000F7C37" w:rsidRDefault="00E35FA4" w:rsidP="00B131B2">
      <w:pPr>
        <w:adjustRightInd w:val="0"/>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因公司实施202</w:t>
      </w:r>
      <w:r w:rsidRPr="000F7C37">
        <w:rPr>
          <w:rFonts w:asciiTheme="minorEastAsia" w:eastAsiaTheme="minorEastAsia" w:hAnsiTheme="minorEastAsia"/>
          <w:sz w:val="24"/>
        </w:rPr>
        <w:t>1</w:t>
      </w:r>
      <w:r w:rsidRPr="000F7C37">
        <w:rPr>
          <w:rFonts w:asciiTheme="minorEastAsia" w:eastAsiaTheme="minorEastAsia" w:hAnsiTheme="minorEastAsia" w:hint="eastAsia"/>
          <w:sz w:val="24"/>
        </w:rPr>
        <w:t>年年度利润分配，</w:t>
      </w:r>
      <w:r w:rsidRPr="000F7C37">
        <w:rPr>
          <w:rFonts w:asciiTheme="minorEastAsia" w:eastAsiaTheme="minorEastAsia" w:hAnsiTheme="minorEastAsia"/>
          <w:sz w:val="24"/>
        </w:rPr>
        <w:t>转股</w:t>
      </w:r>
      <w:r w:rsidRPr="000F7C37">
        <w:rPr>
          <w:rFonts w:asciiTheme="minorEastAsia" w:eastAsiaTheme="minorEastAsia" w:hAnsiTheme="minorEastAsia" w:hint="eastAsia"/>
          <w:sz w:val="24"/>
        </w:rPr>
        <w:t>价格自202</w:t>
      </w:r>
      <w:r w:rsidRPr="000F7C37">
        <w:rPr>
          <w:rFonts w:asciiTheme="minorEastAsia" w:eastAsiaTheme="minorEastAsia" w:hAnsiTheme="minorEastAsia"/>
          <w:sz w:val="24"/>
        </w:rPr>
        <w:t>2</w:t>
      </w:r>
      <w:r w:rsidRPr="000F7C37">
        <w:rPr>
          <w:rFonts w:asciiTheme="minorEastAsia" w:eastAsiaTheme="minorEastAsia" w:hAnsiTheme="minorEastAsia" w:hint="eastAsia"/>
          <w:sz w:val="24"/>
        </w:rPr>
        <w:t>年6月</w:t>
      </w:r>
      <w:r w:rsidRPr="000F7C37">
        <w:rPr>
          <w:rFonts w:asciiTheme="minorEastAsia" w:eastAsiaTheme="minorEastAsia" w:hAnsiTheme="minorEastAsia"/>
          <w:sz w:val="24"/>
        </w:rPr>
        <w:t>29</w:t>
      </w:r>
      <w:r w:rsidRPr="000F7C37">
        <w:rPr>
          <w:rFonts w:asciiTheme="minorEastAsia" w:eastAsiaTheme="minorEastAsia" w:hAnsiTheme="minorEastAsia" w:hint="eastAsia"/>
          <w:sz w:val="24"/>
        </w:rPr>
        <w:t>日起调整为21.1</w:t>
      </w:r>
      <w:r w:rsidRPr="000F7C37">
        <w:rPr>
          <w:rFonts w:asciiTheme="minorEastAsia" w:eastAsiaTheme="minorEastAsia" w:hAnsiTheme="minorEastAsia"/>
          <w:sz w:val="24"/>
        </w:rPr>
        <w:t>0</w:t>
      </w:r>
      <w:r w:rsidRPr="000F7C37">
        <w:rPr>
          <w:rFonts w:asciiTheme="minorEastAsia" w:eastAsiaTheme="minorEastAsia" w:hAnsiTheme="minorEastAsia" w:hint="eastAsia"/>
          <w:sz w:val="24"/>
        </w:rPr>
        <w:t>元/股，</w:t>
      </w:r>
      <w:r w:rsidRPr="000F7C37">
        <w:rPr>
          <w:rFonts w:asciiTheme="minorEastAsia" w:eastAsiaTheme="minorEastAsia" w:hAnsiTheme="minorEastAsia"/>
          <w:sz w:val="24"/>
        </w:rPr>
        <w:t>具体</w:t>
      </w:r>
      <w:r w:rsidRPr="000F7C37">
        <w:rPr>
          <w:rFonts w:asciiTheme="minorEastAsia" w:eastAsiaTheme="minorEastAsia" w:hAnsiTheme="minorEastAsia" w:hint="eastAsia"/>
          <w:sz w:val="24"/>
        </w:rPr>
        <w:t>内容详见公司披露于上海证券交易所网站的《关于“沪工转债”转股价格调整的公告</w:t>
      </w:r>
      <w:r w:rsidRPr="000F7C37">
        <w:rPr>
          <w:rFonts w:asciiTheme="minorEastAsia" w:eastAsiaTheme="minorEastAsia" w:hAnsiTheme="minorEastAsia"/>
          <w:sz w:val="24"/>
        </w:rPr>
        <w:t>》</w:t>
      </w:r>
      <w:r w:rsidRPr="000F7C37">
        <w:rPr>
          <w:rFonts w:asciiTheme="minorEastAsia" w:eastAsiaTheme="minorEastAsia" w:hAnsiTheme="minorEastAsia" w:hint="eastAsia"/>
          <w:sz w:val="24"/>
        </w:rPr>
        <w:t>（公告编号：20</w:t>
      </w:r>
      <w:r w:rsidRPr="000F7C37">
        <w:rPr>
          <w:rFonts w:asciiTheme="minorEastAsia" w:eastAsiaTheme="minorEastAsia" w:hAnsiTheme="minorEastAsia"/>
          <w:sz w:val="24"/>
        </w:rPr>
        <w:t>22-</w:t>
      </w:r>
      <w:r w:rsidRPr="000F7C37">
        <w:rPr>
          <w:rFonts w:asciiTheme="minorEastAsia" w:eastAsiaTheme="minorEastAsia" w:hAnsiTheme="minorEastAsia" w:hint="eastAsia"/>
          <w:sz w:val="24"/>
        </w:rPr>
        <w:t>0</w:t>
      </w:r>
      <w:r w:rsidRPr="000F7C37">
        <w:rPr>
          <w:rFonts w:asciiTheme="minorEastAsia" w:eastAsiaTheme="minorEastAsia" w:hAnsiTheme="minorEastAsia"/>
          <w:sz w:val="24"/>
        </w:rPr>
        <w:t>39）</w:t>
      </w:r>
      <w:r w:rsidRPr="000F7C37">
        <w:rPr>
          <w:rFonts w:asciiTheme="minorEastAsia" w:eastAsiaTheme="minorEastAsia" w:hAnsiTheme="minorEastAsia" w:hint="eastAsia"/>
          <w:sz w:val="24"/>
        </w:rPr>
        <w:t>。</w:t>
      </w:r>
    </w:p>
    <w:p w:rsidR="00B131B2" w:rsidRPr="000F7C37" w:rsidRDefault="00B131B2" w:rsidP="00B131B2">
      <w:pPr>
        <w:adjustRightInd w:val="0"/>
        <w:snapToGrid w:val="0"/>
        <w:spacing w:line="360" w:lineRule="auto"/>
        <w:ind w:firstLineChars="200" w:firstLine="480"/>
        <w:rPr>
          <w:rFonts w:asciiTheme="minorEastAsia" w:eastAsiaTheme="minorEastAsia" w:hAnsiTheme="minorEastAsia"/>
          <w:sz w:val="24"/>
        </w:rPr>
      </w:pPr>
    </w:p>
    <w:p w:rsidR="00C131A2" w:rsidRPr="000F7C37" w:rsidRDefault="00E35FA4" w:rsidP="00B131B2">
      <w:pPr>
        <w:adjustRightInd w:val="0"/>
        <w:snapToGrid w:val="0"/>
        <w:spacing w:line="360" w:lineRule="auto"/>
        <w:ind w:firstLineChars="200" w:firstLine="482"/>
        <w:rPr>
          <w:rFonts w:asciiTheme="minorEastAsia" w:eastAsiaTheme="minorEastAsia" w:hAnsiTheme="minorEastAsia"/>
          <w:b/>
          <w:sz w:val="24"/>
        </w:rPr>
      </w:pPr>
      <w:r w:rsidRPr="000F7C37">
        <w:rPr>
          <w:rFonts w:asciiTheme="minorEastAsia" w:eastAsiaTheme="minorEastAsia" w:hAnsiTheme="minorEastAsia" w:hint="eastAsia"/>
          <w:b/>
          <w:sz w:val="24"/>
        </w:rPr>
        <w:t>二、可转债本次转股情况</w:t>
      </w:r>
    </w:p>
    <w:p w:rsidR="00C131A2" w:rsidRPr="000F7C37" w:rsidRDefault="00E35FA4" w:rsidP="00B131B2">
      <w:pPr>
        <w:adjustRightInd w:val="0"/>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公司本次发行的“沪工转债”转股期为：自2021年1月25日至2026年7月19日。在202</w:t>
      </w:r>
      <w:r w:rsidR="00BC1BF8" w:rsidRPr="000F7C37">
        <w:rPr>
          <w:rFonts w:asciiTheme="minorEastAsia" w:eastAsiaTheme="minorEastAsia" w:hAnsiTheme="minorEastAsia"/>
          <w:sz w:val="24"/>
        </w:rPr>
        <w:t>4</w:t>
      </w:r>
      <w:r w:rsidRPr="000F7C37">
        <w:rPr>
          <w:rFonts w:asciiTheme="minorEastAsia" w:eastAsiaTheme="minorEastAsia" w:hAnsiTheme="minorEastAsia" w:hint="eastAsia"/>
          <w:sz w:val="24"/>
        </w:rPr>
        <w:t>年</w:t>
      </w:r>
      <w:r w:rsidR="006C4AAA">
        <w:rPr>
          <w:rFonts w:asciiTheme="minorEastAsia" w:eastAsiaTheme="minorEastAsia" w:hAnsiTheme="minorEastAsia"/>
          <w:sz w:val="24"/>
        </w:rPr>
        <w:t>4</w:t>
      </w:r>
      <w:r w:rsidRPr="000F7C37">
        <w:rPr>
          <w:rFonts w:asciiTheme="minorEastAsia" w:eastAsiaTheme="minorEastAsia" w:hAnsiTheme="minorEastAsia" w:hint="eastAsia"/>
          <w:sz w:val="24"/>
        </w:rPr>
        <w:t>月</w:t>
      </w:r>
      <w:r w:rsidRPr="000F7C37">
        <w:rPr>
          <w:rFonts w:asciiTheme="minorEastAsia" w:eastAsiaTheme="minorEastAsia" w:hAnsiTheme="minorEastAsia"/>
          <w:sz w:val="24"/>
        </w:rPr>
        <w:t>1</w:t>
      </w:r>
      <w:r w:rsidRPr="000F7C37">
        <w:rPr>
          <w:rFonts w:asciiTheme="minorEastAsia" w:eastAsiaTheme="minorEastAsia" w:hAnsiTheme="minorEastAsia" w:hint="eastAsia"/>
          <w:sz w:val="24"/>
        </w:rPr>
        <w:t>日至202</w:t>
      </w:r>
      <w:r w:rsidR="00BC1BF8" w:rsidRPr="000F7C37">
        <w:rPr>
          <w:rFonts w:asciiTheme="minorEastAsia" w:eastAsiaTheme="minorEastAsia" w:hAnsiTheme="minorEastAsia"/>
          <w:sz w:val="24"/>
        </w:rPr>
        <w:t>4</w:t>
      </w:r>
      <w:r w:rsidRPr="000F7C37">
        <w:rPr>
          <w:rFonts w:asciiTheme="minorEastAsia" w:eastAsiaTheme="minorEastAsia" w:hAnsiTheme="minorEastAsia" w:hint="eastAsia"/>
          <w:sz w:val="24"/>
        </w:rPr>
        <w:t>年</w:t>
      </w:r>
      <w:r w:rsidR="006C4AAA">
        <w:rPr>
          <w:rFonts w:asciiTheme="minorEastAsia" w:eastAsiaTheme="minorEastAsia" w:hAnsiTheme="minorEastAsia"/>
          <w:sz w:val="24"/>
        </w:rPr>
        <w:t>6</w:t>
      </w:r>
      <w:r w:rsidRPr="000F7C37">
        <w:rPr>
          <w:rFonts w:asciiTheme="minorEastAsia" w:eastAsiaTheme="minorEastAsia" w:hAnsiTheme="minorEastAsia" w:hint="eastAsia"/>
          <w:sz w:val="24"/>
        </w:rPr>
        <w:t>月</w:t>
      </w:r>
      <w:r w:rsidR="006C4AAA">
        <w:rPr>
          <w:rFonts w:asciiTheme="minorEastAsia" w:eastAsiaTheme="minorEastAsia" w:hAnsiTheme="minorEastAsia"/>
          <w:sz w:val="24"/>
        </w:rPr>
        <w:t>30</w:t>
      </w:r>
      <w:r w:rsidRPr="000F7C37">
        <w:rPr>
          <w:rFonts w:asciiTheme="minorEastAsia" w:eastAsiaTheme="minorEastAsia" w:hAnsiTheme="minorEastAsia" w:hint="eastAsia"/>
          <w:sz w:val="24"/>
        </w:rPr>
        <w:t>日期间，“沪工转债”</w:t>
      </w:r>
      <w:r w:rsidRPr="000F7C37">
        <w:rPr>
          <w:rFonts w:asciiTheme="minorEastAsia" w:eastAsiaTheme="minorEastAsia" w:hAnsiTheme="minorEastAsia"/>
          <w:sz w:val="24"/>
        </w:rPr>
        <w:t>共有</w:t>
      </w:r>
      <w:r w:rsidR="00C21082">
        <w:rPr>
          <w:rFonts w:asciiTheme="minorEastAsia" w:eastAsiaTheme="minorEastAsia" w:hAnsiTheme="minorEastAsia" w:hint="eastAsia"/>
          <w:sz w:val="24"/>
        </w:rPr>
        <w:t>6</w:t>
      </w:r>
      <w:r w:rsidR="00C21082">
        <w:rPr>
          <w:rFonts w:asciiTheme="minorEastAsia" w:eastAsiaTheme="minorEastAsia" w:hAnsiTheme="minorEastAsia"/>
          <w:sz w:val="24"/>
        </w:rPr>
        <w:t>,000</w:t>
      </w:r>
      <w:r w:rsidRPr="000F7C37">
        <w:rPr>
          <w:rFonts w:asciiTheme="minorEastAsia" w:eastAsiaTheme="minorEastAsia" w:hAnsiTheme="minorEastAsia" w:hint="eastAsia"/>
          <w:sz w:val="24"/>
        </w:rPr>
        <w:t>元转换为公司股份，转股数量为</w:t>
      </w:r>
      <w:r w:rsidR="00C21082">
        <w:rPr>
          <w:rFonts w:asciiTheme="minorEastAsia" w:eastAsiaTheme="minorEastAsia" w:hAnsiTheme="minorEastAsia" w:hint="eastAsia"/>
          <w:kern w:val="0"/>
          <w:sz w:val="24"/>
        </w:rPr>
        <w:t>2</w:t>
      </w:r>
      <w:r w:rsidR="00C21082">
        <w:rPr>
          <w:rFonts w:asciiTheme="minorEastAsia" w:eastAsiaTheme="minorEastAsia" w:hAnsiTheme="minorEastAsia"/>
          <w:kern w:val="0"/>
          <w:sz w:val="24"/>
        </w:rPr>
        <w:t>84</w:t>
      </w:r>
      <w:r w:rsidRPr="000F7C37">
        <w:rPr>
          <w:rFonts w:asciiTheme="minorEastAsia" w:eastAsiaTheme="minorEastAsia" w:hAnsiTheme="minorEastAsia" w:hint="eastAsia"/>
          <w:sz w:val="24"/>
        </w:rPr>
        <w:t>股。</w:t>
      </w:r>
    </w:p>
    <w:p w:rsidR="00C131A2" w:rsidRPr="000F7C37" w:rsidRDefault="00E35FA4" w:rsidP="00B131B2">
      <w:pPr>
        <w:adjustRightInd w:val="0"/>
        <w:snapToGrid w:val="0"/>
        <w:spacing w:line="360" w:lineRule="auto"/>
        <w:ind w:firstLineChars="200" w:firstLine="480"/>
        <w:rPr>
          <w:rFonts w:asciiTheme="minorEastAsia" w:eastAsiaTheme="minorEastAsia" w:hAnsiTheme="minorEastAsia"/>
          <w:sz w:val="24"/>
        </w:rPr>
      </w:pPr>
      <w:r w:rsidRPr="000F7C37">
        <w:rPr>
          <w:rFonts w:asciiTheme="minorEastAsia" w:eastAsiaTheme="minorEastAsia" w:hAnsiTheme="minorEastAsia" w:hint="eastAsia"/>
          <w:sz w:val="24"/>
        </w:rPr>
        <w:t>截至202</w:t>
      </w:r>
      <w:r w:rsidR="00BC1BF8" w:rsidRPr="000F7C37">
        <w:rPr>
          <w:rFonts w:asciiTheme="minorEastAsia" w:eastAsiaTheme="minorEastAsia" w:hAnsiTheme="minorEastAsia"/>
          <w:sz w:val="24"/>
        </w:rPr>
        <w:t>4</w:t>
      </w:r>
      <w:r w:rsidRPr="000F7C37">
        <w:rPr>
          <w:rFonts w:asciiTheme="minorEastAsia" w:eastAsiaTheme="minorEastAsia" w:hAnsiTheme="minorEastAsia" w:hint="eastAsia"/>
          <w:sz w:val="24"/>
        </w:rPr>
        <w:t>年</w:t>
      </w:r>
      <w:r w:rsidR="006C4AAA">
        <w:rPr>
          <w:rFonts w:asciiTheme="minorEastAsia" w:eastAsiaTheme="minorEastAsia" w:hAnsiTheme="minorEastAsia"/>
          <w:sz w:val="24"/>
        </w:rPr>
        <w:t>6</w:t>
      </w:r>
      <w:r w:rsidRPr="000F7C37">
        <w:rPr>
          <w:rFonts w:asciiTheme="minorEastAsia" w:eastAsiaTheme="minorEastAsia" w:hAnsiTheme="minorEastAsia" w:hint="eastAsia"/>
          <w:sz w:val="24"/>
        </w:rPr>
        <w:t>月</w:t>
      </w:r>
      <w:r w:rsidR="006C4AAA">
        <w:rPr>
          <w:rFonts w:asciiTheme="minorEastAsia" w:eastAsiaTheme="minorEastAsia" w:hAnsiTheme="minorEastAsia"/>
          <w:sz w:val="24"/>
        </w:rPr>
        <w:t>30</w:t>
      </w:r>
      <w:r w:rsidRPr="000F7C37">
        <w:rPr>
          <w:rFonts w:asciiTheme="minorEastAsia" w:eastAsiaTheme="minorEastAsia" w:hAnsiTheme="minorEastAsia" w:hint="eastAsia"/>
          <w:sz w:val="24"/>
        </w:rPr>
        <w:t>日，“沪工转债”累计有人民币</w:t>
      </w:r>
      <w:r w:rsidR="00C21082" w:rsidRPr="00C21082">
        <w:rPr>
          <w:rFonts w:asciiTheme="minorEastAsia" w:eastAsiaTheme="minorEastAsia" w:hAnsiTheme="minorEastAsia"/>
          <w:sz w:val="24"/>
        </w:rPr>
        <w:t>354,000</w:t>
      </w:r>
      <w:r w:rsidRPr="000F7C37">
        <w:rPr>
          <w:rFonts w:asciiTheme="minorEastAsia" w:eastAsiaTheme="minorEastAsia" w:hAnsiTheme="minorEastAsia" w:hint="eastAsia"/>
          <w:sz w:val="24"/>
        </w:rPr>
        <w:t>元转换为公司股份，转股数量为</w:t>
      </w:r>
      <w:r w:rsidR="00C21082" w:rsidRPr="00C21082">
        <w:rPr>
          <w:rFonts w:asciiTheme="minorEastAsia" w:eastAsiaTheme="minorEastAsia" w:hAnsiTheme="minorEastAsia"/>
          <w:sz w:val="24"/>
        </w:rPr>
        <w:t>16</w:t>
      </w:r>
      <w:r w:rsidR="00C21082">
        <w:rPr>
          <w:rFonts w:asciiTheme="minorEastAsia" w:eastAsiaTheme="minorEastAsia" w:hAnsiTheme="minorEastAsia"/>
          <w:sz w:val="24"/>
        </w:rPr>
        <w:t>,</w:t>
      </w:r>
      <w:r w:rsidR="00C21082" w:rsidRPr="00C21082">
        <w:rPr>
          <w:rFonts w:asciiTheme="minorEastAsia" w:eastAsiaTheme="minorEastAsia" w:hAnsiTheme="minorEastAsia"/>
          <w:sz w:val="24"/>
        </w:rPr>
        <w:t>664</w:t>
      </w:r>
      <w:r w:rsidRPr="000F7C37">
        <w:rPr>
          <w:rFonts w:asciiTheme="minorEastAsia" w:eastAsiaTheme="minorEastAsia" w:hAnsiTheme="minorEastAsia" w:hint="eastAsia"/>
          <w:sz w:val="24"/>
        </w:rPr>
        <w:t>股，占转股前公司已发行股份总额的</w:t>
      </w:r>
      <w:r w:rsidR="00C21082" w:rsidRPr="00C21082">
        <w:rPr>
          <w:rFonts w:asciiTheme="minorEastAsia" w:eastAsiaTheme="minorEastAsia" w:hAnsiTheme="minorEastAsia"/>
          <w:sz w:val="24"/>
        </w:rPr>
        <w:t>0.0052</w:t>
      </w:r>
      <w:r w:rsidR="00C83D9D" w:rsidRPr="000F7C37">
        <w:rPr>
          <w:rFonts w:asciiTheme="minorEastAsia" w:eastAsiaTheme="minorEastAsia" w:hAnsiTheme="minorEastAsia"/>
          <w:sz w:val="24"/>
        </w:rPr>
        <w:t>%</w:t>
      </w:r>
      <w:r w:rsidRPr="000F7C37">
        <w:rPr>
          <w:rFonts w:asciiTheme="minorEastAsia" w:eastAsiaTheme="minorEastAsia" w:hAnsiTheme="minorEastAsia" w:hint="eastAsia"/>
          <w:sz w:val="24"/>
        </w:rPr>
        <w:t>。尚未转股的“沪工转债”金额为人民币</w:t>
      </w:r>
      <w:r w:rsidR="00242607" w:rsidRPr="00242607">
        <w:rPr>
          <w:rFonts w:asciiTheme="minorEastAsia" w:eastAsiaTheme="minorEastAsia" w:hAnsiTheme="minorEastAsia"/>
          <w:sz w:val="24"/>
        </w:rPr>
        <w:t>399</w:t>
      </w:r>
      <w:r w:rsidR="00242607" w:rsidRPr="006C4AAA">
        <w:rPr>
          <w:kern w:val="0"/>
          <w:sz w:val="24"/>
        </w:rPr>
        <w:t>,</w:t>
      </w:r>
      <w:r w:rsidR="00242607" w:rsidRPr="00242607">
        <w:rPr>
          <w:rFonts w:asciiTheme="minorEastAsia" w:eastAsiaTheme="minorEastAsia" w:hAnsiTheme="minorEastAsia"/>
          <w:sz w:val="24"/>
        </w:rPr>
        <w:t>646</w:t>
      </w:r>
      <w:r w:rsidR="00242607" w:rsidRPr="006C4AAA">
        <w:rPr>
          <w:kern w:val="0"/>
          <w:sz w:val="24"/>
        </w:rPr>
        <w:t>,</w:t>
      </w:r>
      <w:r w:rsidR="00242607" w:rsidRPr="00242607">
        <w:rPr>
          <w:rFonts w:asciiTheme="minorEastAsia" w:eastAsiaTheme="minorEastAsia" w:hAnsiTheme="minorEastAsia"/>
          <w:sz w:val="24"/>
        </w:rPr>
        <w:t>000</w:t>
      </w:r>
      <w:r w:rsidRPr="000F7C37">
        <w:rPr>
          <w:rFonts w:asciiTheme="minorEastAsia" w:eastAsiaTheme="minorEastAsia" w:hAnsiTheme="minorEastAsia" w:hint="eastAsia"/>
          <w:sz w:val="24"/>
        </w:rPr>
        <w:t>元，占发行总量的</w:t>
      </w:r>
      <w:r w:rsidR="00C21082" w:rsidRPr="00C21082">
        <w:rPr>
          <w:rFonts w:asciiTheme="minorEastAsia" w:eastAsiaTheme="minorEastAsia" w:hAnsiTheme="minorEastAsia"/>
          <w:sz w:val="24"/>
        </w:rPr>
        <w:t>99.91</w:t>
      </w:r>
      <w:r w:rsidR="00C83D9D" w:rsidRPr="000F7C37">
        <w:rPr>
          <w:rFonts w:asciiTheme="minorEastAsia" w:eastAsiaTheme="minorEastAsia" w:hAnsiTheme="minorEastAsia"/>
          <w:sz w:val="24"/>
        </w:rPr>
        <w:t>%</w:t>
      </w:r>
      <w:r w:rsidRPr="000F7C37">
        <w:rPr>
          <w:rFonts w:asciiTheme="minorEastAsia" w:eastAsiaTheme="minorEastAsia" w:hAnsiTheme="minorEastAsia" w:hint="eastAsia"/>
          <w:sz w:val="24"/>
        </w:rPr>
        <w:t>。</w:t>
      </w:r>
    </w:p>
    <w:p w:rsidR="00B131B2" w:rsidRPr="000F7C37" w:rsidRDefault="00B131B2" w:rsidP="00B131B2">
      <w:pPr>
        <w:adjustRightInd w:val="0"/>
        <w:snapToGrid w:val="0"/>
        <w:spacing w:line="360" w:lineRule="auto"/>
        <w:ind w:firstLineChars="200" w:firstLine="480"/>
        <w:rPr>
          <w:rFonts w:asciiTheme="minorEastAsia" w:eastAsiaTheme="minorEastAsia" w:hAnsiTheme="minorEastAsia"/>
          <w:sz w:val="24"/>
        </w:rPr>
      </w:pPr>
    </w:p>
    <w:p w:rsidR="00C131A2" w:rsidRPr="00AF732F" w:rsidRDefault="00E35FA4" w:rsidP="00B131B2">
      <w:pPr>
        <w:adjustRightInd w:val="0"/>
        <w:snapToGrid w:val="0"/>
        <w:spacing w:line="360" w:lineRule="auto"/>
        <w:ind w:left="482"/>
        <w:rPr>
          <w:sz w:val="24"/>
        </w:rPr>
      </w:pPr>
      <w:r w:rsidRPr="00AF732F">
        <w:rPr>
          <w:rFonts w:hint="eastAsia"/>
          <w:b/>
          <w:sz w:val="24"/>
        </w:rPr>
        <w:t>三、股本变动情况</w:t>
      </w:r>
    </w:p>
    <w:p w:rsidR="00C131A2" w:rsidRPr="00AF732F" w:rsidRDefault="00E35FA4" w:rsidP="00B131B2">
      <w:pPr>
        <w:adjustRightInd w:val="0"/>
        <w:snapToGrid w:val="0"/>
        <w:spacing w:line="360" w:lineRule="auto"/>
        <w:ind w:firstLineChars="200" w:firstLine="480"/>
        <w:jc w:val="right"/>
        <w:rPr>
          <w:sz w:val="24"/>
        </w:rPr>
      </w:pPr>
      <w:r w:rsidRPr="00AF732F">
        <w:rPr>
          <w:rFonts w:hint="eastAsia"/>
          <w:sz w:val="24"/>
        </w:rPr>
        <w:t>单位：股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27"/>
        <w:gridCol w:w="1229"/>
        <w:gridCol w:w="2393"/>
      </w:tblGrid>
      <w:tr w:rsidR="00C131A2" w:rsidRPr="00AF732F" w:rsidTr="00C414B2">
        <w:trPr>
          <w:trHeight w:val="653"/>
          <w:jc w:val="center"/>
        </w:trPr>
        <w:tc>
          <w:tcPr>
            <w:tcW w:w="1354" w:type="pct"/>
            <w:vAlign w:val="center"/>
          </w:tcPr>
          <w:p w:rsidR="00C131A2" w:rsidRPr="00AF732F" w:rsidRDefault="00E35FA4" w:rsidP="000F7C37">
            <w:pPr>
              <w:adjustRightInd w:val="0"/>
              <w:snapToGrid w:val="0"/>
              <w:jc w:val="center"/>
              <w:rPr>
                <w:kern w:val="0"/>
                <w:sz w:val="24"/>
              </w:rPr>
            </w:pPr>
            <w:r w:rsidRPr="00AF732F">
              <w:rPr>
                <w:rFonts w:hint="eastAsia"/>
                <w:kern w:val="0"/>
                <w:sz w:val="24"/>
              </w:rPr>
              <w:t>股份类别</w:t>
            </w:r>
          </w:p>
        </w:tc>
        <w:tc>
          <w:tcPr>
            <w:tcW w:w="1463" w:type="pct"/>
            <w:vAlign w:val="center"/>
          </w:tcPr>
          <w:p w:rsidR="00C131A2" w:rsidRPr="00AF732F" w:rsidRDefault="00E35FA4" w:rsidP="000F7C37">
            <w:pPr>
              <w:adjustRightInd w:val="0"/>
              <w:snapToGrid w:val="0"/>
              <w:jc w:val="center"/>
              <w:rPr>
                <w:kern w:val="0"/>
                <w:sz w:val="24"/>
              </w:rPr>
            </w:pPr>
            <w:r w:rsidRPr="00AF732F">
              <w:rPr>
                <w:rFonts w:hint="eastAsia"/>
                <w:kern w:val="0"/>
                <w:sz w:val="24"/>
              </w:rPr>
              <w:t>变动前</w:t>
            </w:r>
          </w:p>
          <w:p w:rsidR="00C131A2" w:rsidRPr="00AF732F" w:rsidRDefault="00E35FA4" w:rsidP="006C4AAA">
            <w:pPr>
              <w:adjustRightInd w:val="0"/>
              <w:snapToGrid w:val="0"/>
              <w:ind w:leftChars="-59" w:left="-124" w:rightChars="-70" w:right="-147"/>
              <w:rPr>
                <w:kern w:val="0"/>
                <w:sz w:val="24"/>
              </w:rPr>
            </w:pPr>
            <w:r w:rsidRPr="00AF732F">
              <w:rPr>
                <w:rFonts w:hint="eastAsia"/>
                <w:kern w:val="0"/>
                <w:sz w:val="24"/>
              </w:rPr>
              <w:t>（</w:t>
            </w:r>
            <w:r w:rsidR="000E02F1" w:rsidRPr="000E02F1">
              <w:rPr>
                <w:rFonts w:hint="eastAsia"/>
                <w:kern w:val="0"/>
                <w:sz w:val="24"/>
              </w:rPr>
              <w:t>20</w:t>
            </w:r>
            <w:r w:rsidR="006C4AAA">
              <w:rPr>
                <w:kern w:val="0"/>
                <w:sz w:val="24"/>
              </w:rPr>
              <w:t>24</w:t>
            </w:r>
            <w:r w:rsidR="000E02F1" w:rsidRPr="000E02F1">
              <w:rPr>
                <w:rFonts w:hint="eastAsia"/>
                <w:kern w:val="0"/>
                <w:sz w:val="24"/>
              </w:rPr>
              <w:t>年</w:t>
            </w:r>
            <w:r w:rsidR="006C4AAA">
              <w:rPr>
                <w:kern w:val="0"/>
                <w:sz w:val="24"/>
              </w:rPr>
              <w:t>3</w:t>
            </w:r>
            <w:r w:rsidR="000E02F1" w:rsidRPr="000E02F1">
              <w:rPr>
                <w:rFonts w:hint="eastAsia"/>
                <w:kern w:val="0"/>
                <w:sz w:val="24"/>
              </w:rPr>
              <w:t>月</w:t>
            </w:r>
            <w:r w:rsidR="00BC1BF8">
              <w:rPr>
                <w:kern w:val="0"/>
                <w:sz w:val="24"/>
              </w:rPr>
              <w:t>31</w:t>
            </w:r>
            <w:r w:rsidR="000E02F1" w:rsidRPr="000E02F1">
              <w:rPr>
                <w:rFonts w:hint="eastAsia"/>
                <w:kern w:val="0"/>
                <w:sz w:val="24"/>
              </w:rPr>
              <w:t>日</w:t>
            </w:r>
            <w:r w:rsidRPr="00AF732F">
              <w:rPr>
                <w:rFonts w:hint="eastAsia"/>
                <w:kern w:val="0"/>
                <w:sz w:val="24"/>
              </w:rPr>
              <w:t>）</w:t>
            </w:r>
          </w:p>
        </w:tc>
        <w:tc>
          <w:tcPr>
            <w:tcW w:w="741" w:type="pct"/>
            <w:vAlign w:val="center"/>
          </w:tcPr>
          <w:p w:rsidR="00C131A2" w:rsidRPr="00AF732F" w:rsidRDefault="00E35FA4" w:rsidP="000F7C37">
            <w:pPr>
              <w:adjustRightInd w:val="0"/>
              <w:snapToGrid w:val="0"/>
              <w:jc w:val="center"/>
              <w:rPr>
                <w:kern w:val="0"/>
                <w:sz w:val="24"/>
              </w:rPr>
            </w:pPr>
            <w:r w:rsidRPr="00AF732F">
              <w:rPr>
                <w:rFonts w:hint="eastAsia"/>
                <w:kern w:val="0"/>
                <w:sz w:val="24"/>
              </w:rPr>
              <w:t>本次可转债转股</w:t>
            </w:r>
          </w:p>
        </w:tc>
        <w:tc>
          <w:tcPr>
            <w:tcW w:w="1442" w:type="pct"/>
            <w:vAlign w:val="center"/>
          </w:tcPr>
          <w:p w:rsidR="00C131A2" w:rsidRPr="00AF732F" w:rsidRDefault="00E35FA4" w:rsidP="000F7C37">
            <w:pPr>
              <w:adjustRightInd w:val="0"/>
              <w:snapToGrid w:val="0"/>
              <w:jc w:val="center"/>
              <w:rPr>
                <w:kern w:val="0"/>
                <w:sz w:val="24"/>
              </w:rPr>
            </w:pPr>
            <w:r w:rsidRPr="00AF732F">
              <w:rPr>
                <w:rFonts w:hint="eastAsia"/>
                <w:kern w:val="0"/>
                <w:sz w:val="24"/>
              </w:rPr>
              <w:t>变动后</w:t>
            </w:r>
          </w:p>
          <w:p w:rsidR="00C131A2" w:rsidRPr="00AF732F" w:rsidRDefault="00E35FA4" w:rsidP="006C4AAA">
            <w:pPr>
              <w:adjustRightInd w:val="0"/>
              <w:snapToGrid w:val="0"/>
              <w:ind w:leftChars="-87" w:left="-183" w:rightChars="-51" w:right="-107"/>
              <w:jc w:val="center"/>
              <w:rPr>
                <w:kern w:val="0"/>
                <w:sz w:val="24"/>
              </w:rPr>
            </w:pPr>
            <w:r w:rsidRPr="00AF732F">
              <w:rPr>
                <w:rFonts w:hint="eastAsia"/>
                <w:kern w:val="0"/>
                <w:sz w:val="24"/>
              </w:rPr>
              <w:t>（</w:t>
            </w:r>
            <w:r w:rsidRPr="00AF732F">
              <w:rPr>
                <w:rFonts w:hint="eastAsia"/>
                <w:kern w:val="0"/>
                <w:sz w:val="24"/>
              </w:rPr>
              <w:t>202</w:t>
            </w:r>
            <w:r w:rsidR="00BC1BF8">
              <w:rPr>
                <w:kern w:val="0"/>
                <w:sz w:val="24"/>
              </w:rPr>
              <w:t>4</w:t>
            </w:r>
            <w:r w:rsidRPr="00AF732F">
              <w:rPr>
                <w:rFonts w:hint="eastAsia"/>
                <w:kern w:val="0"/>
                <w:sz w:val="24"/>
              </w:rPr>
              <w:t>年</w:t>
            </w:r>
            <w:r w:rsidR="006C4AAA">
              <w:rPr>
                <w:kern w:val="0"/>
                <w:sz w:val="24"/>
              </w:rPr>
              <w:t>6</w:t>
            </w:r>
            <w:r w:rsidRPr="00AF732F">
              <w:rPr>
                <w:rFonts w:hint="eastAsia"/>
                <w:kern w:val="0"/>
                <w:sz w:val="24"/>
              </w:rPr>
              <w:t>月</w:t>
            </w:r>
            <w:r w:rsidR="006C4AAA">
              <w:rPr>
                <w:kern w:val="0"/>
                <w:sz w:val="24"/>
              </w:rPr>
              <w:t>30</w:t>
            </w:r>
            <w:r w:rsidRPr="00AF732F">
              <w:rPr>
                <w:rFonts w:hint="eastAsia"/>
                <w:kern w:val="0"/>
                <w:sz w:val="24"/>
              </w:rPr>
              <w:t>日）</w:t>
            </w:r>
          </w:p>
        </w:tc>
      </w:tr>
      <w:tr w:rsidR="006C4AAA" w:rsidRPr="00AF732F" w:rsidTr="007D534E">
        <w:trPr>
          <w:trHeight w:val="20"/>
          <w:jc w:val="center"/>
        </w:trPr>
        <w:tc>
          <w:tcPr>
            <w:tcW w:w="1354" w:type="pct"/>
            <w:vAlign w:val="center"/>
          </w:tcPr>
          <w:p w:rsidR="006C4AAA" w:rsidRPr="00AF732F" w:rsidRDefault="006C4AAA" w:rsidP="006C4AAA">
            <w:pPr>
              <w:adjustRightInd w:val="0"/>
              <w:snapToGrid w:val="0"/>
              <w:jc w:val="center"/>
              <w:rPr>
                <w:kern w:val="0"/>
                <w:sz w:val="24"/>
              </w:rPr>
            </w:pPr>
            <w:r w:rsidRPr="00AF732F">
              <w:rPr>
                <w:rFonts w:hint="eastAsia"/>
                <w:kern w:val="0"/>
                <w:sz w:val="24"/>
              </w:rPr>
              <w:t>有限售条件流通股</w:t>
            </w:r>
          </w:p>
        </w:tc>
        <w:tc>
          <w:tcPr>
            <w:tcW w:w="1463" w:type="pct"/>
          </w:tcPr>
          <w:p w:rsidR="006C4AAA" w:rsidRPr="006C4AAA" w:rsidRDefault="006C4AAA" w:rsidP="006C4AAA">
            <w:pPr>
              <w:adjustRightInd w:val="0"/>
              <w:snapToGrid w:val="0"/>
              <w:jc w:val="center"/>
              <w:rPr>
                <w:kern w:val="0"/>
                <w:sz w:val="24"/>
              </w:rPr>
            </w:pPr>
            <w:r w:rsidRPr="006C4AAA">
              <w:rPr>
                <w:kern w:val="0"/>
                <w:sz w:val="24"/>
              </w:rPr>
              <w:t>0</w:t>
            </w:r>
          </w:p>
        </w:tc>
        <w:tc>
          <w:tcPr>
            <w:tcW w:w="741" w:type="pct"/>
            <w:vAlign w:val="center"/>
          </w:tcPr>
          <w:p w:rsidR="006C4AAA" w:rsidRPr="00AF732F" w:rsidRDefault="006C4AAA" w:rsidP="006C4AAA">
            <w:pPr>
              <w:adjustRightInd w:val="0"/>
              <w:snapToGrid w:val="0"/>
              <w:jc w:val="center"/>
              <w:rPr>
                <w:kern w:val="0"/>
                <w:sz w:val="24"/>
              </w:rPr>
            </w:pPr>
            <w:r>
              <w:rPr>
                <w:rFonts w:hint="eastAsia"/>
                <w:kern w:val="0"/>
                <w:sz w:val="24"/>
              </w:rPr>
              <w:t>0</w:t>
            </w:r>
          </w:p>
        </w:tc>
        <w:tc>
          <w:tcPr>
            <w:tcW w:w="1442" w:type="pct"/>
            <w:vAlign w:val="center"/>
          </w:tcPr>
          <w:p w:rsidR="006C4AAA" w:rsidRPr="00AF732F" w:rsidRDefault="006C4AAA" w:rsidP="006C4AAA">
            <w:pPr>
              <w:adjustRightInd w:val="0"/>
              <w:snapToGrid w:val="0"/>
              <w:jc w:val="center"/>
              <w:rPr>
                <w:kern w:val="0"/>
                <w:sz w:val="24"/>
              </w:rPr>
            </w:pPr>
            <w:r>
              <w:rPr>
                <w:rFonts w:hint="eastAsia"/>
                <w:kern w:val="0"/>
                <w:sz w:val="24"/>
              </w:rPr>
              <w:t>0</w:t>
            </w:r>
          </w:p>
        </w:tc>
      </w:tr>
      <w:tr w:rsidR="006C4AAA" w:rsidRPr="00AF732F" w:rsidTr="007D534E">
        <w:trPr>
          <w:trHeight w:val="20"/>
          <w:jc w:val="center"/>
        </w:trPr>
        <w:tc>
          <w:tcPr>
            <w:tcW w:w="1354" w:type="pct"/>
            <w:vAlign w:val="center"/>
          </w:tcPr>
          <w:p w:rsidR="006C4AAA" w:rsidRPr="00AF732F" w:rsidRDefault="006C4AAA" w:rsidP="006C4AAA">
            <w:pPr>
              <w:adjustRightInd w:val="0"/>
              <w:snapToGrid w:val="0"/>
              <w:jc w:val="center"/>
              <w:rPr>
                <w:kern w:val="0"/>
                <w:sz w:val="24"/>
              </w:rPr>
            </w:pPr>
            <w:r w:rsidRPr="00AF732F">
              <w:rPr>
                <w:rFonts w:hint="eastAsia"/>
                <w:kern w:val="0"/>
                <w:sz w:val="24"/>
              </w:rPr>
              <w:t>无限售条件流通股</w:t>
            </w:r>
          </w:p>
        </w:tc>
        <w:tc>
          <w:tcPr>
            <w:tcW w:w="1463" w:type="pct"/>
          </w:tcPr>
          <w:p w:rsidR="006C4AAA" w:rsidRPr="006C4AAA" w:rsidRDefault="006C4AAA" w:rsidP="006C4AAA">
            <w:pPr>
              <w:adjustRightInd w:val="0"/>
              <w:snapToGrid w:val="0"/>
              <w:jc w:val="center"/>
              <w:rPr>
                <w:kern w:val="0"/>
                <w:sz w:val="24"/>
              </w:rPr>
            </w:pPr>
            <w:r w:rsidRPr="006C4AAA">
              <w:rPr>
                <w:kern w:val="0"/>
                <w:sz w:val="24"/>
              </w:rPr>
              <w:t>317,990,632</w:t>
            </w:r>
          </w:p>
        </w:tc>
        <w:tc>
          <w:tcPr>
            <w:tcW w:w="741" w:type="pct"/>
            <w:vAlign w:val="center"/>
          </w:tcPr>
          <w:p w:rsidR="006C4AAA" w:rsidRPr="00AF732F" w:rsidRDefault="00242607" w:rsidP="006C4AAA">
            <w:pPr>
              <w:adjustRightInd w:val="0"/>
              <w:snapToGrid w:val="0"/>
              <w:jc w:val="center"/>
              <w:rPr>
                <w:kern w:val="0"/>
                <w:sz w:val="24"/>
              </w:rPr>
            </w:pPr>
            <w:r>
              <w:rPr>
                <w:rFonts w:hint="eastAsia"/>
                <w:kern w:val="0"/>
                <w:sz w:val="24"/>
              </w:rPr>
              <w:t>28</w:t>
            </w:r>
            <w:r>
              <w:rPr>
                <w:kern w:val="0"/>
                <w:sz w:val="24"/>
              </w:rPr>
              <w:t>4</w:t>
            </w:r>
          </w:p>
        </w:tc>
        <w:tc>
          <w:tcPr>
            <w:tcW w:w="1442" w:type="pct"/>
            <w:vAlign w:val="center"/>
          </w:tcPr>
          <w:p w:rsidR="006C4AAA" w:rsidRPr="00AF732F" w:rsidRDefault="00242607" w:rsidP="006C4AAA">
            <w:pPr>
              <w:adjustRightInd w:val="0"/>
              <w:snapToGrid w:val="0"/>
              <w:jc w:val="center"/>
              <w:rPr>
                <w:kern w:val="0"/>
                <w:sz w:val="24"/>
              </w:rPr>
            </w:pPr>
            <w:r w:rsidRPr="00242607">
              <w:rPr>
                <w:kern w:val="0"/>
                <w:sz w:val="24"/>
              </w:rPr>
              <w:t>317,990,916</w:t>
            </w:r>
          </w:p>
        </w:tc>
      </w:tr>
      <w:tr w:rsidR="006C4AAA" w:rsidRPr="00AF732F" w:rsidTr="007D534E">
        <w:trPr>
          <w:trHeight w:val="20"/>
          <w:jc w:val="center"/>
        </w:trPr>
        <w:tc>
          <w:tcPr>
            <w:tcW w:w="1354" w:type="pct"/>
            <w:vAlign w:val="center"/>
          </w:tcPr>
          <w:p w:rsidR="006C4AAA" w:rsidRPr="00AF732F" w:rsidRDefault="006C4AAA" w:rsidP="006C4AAA">
            <w:pPr>
              <w:adjustRightInd w:val="0"/>
              <w:snapToGrid w:val="0"/>
              <w:jc w:val="center"/>
              <w:rPr>
                <w:kern w:val="0"/>
                <w:sz w:val="24"/>
              </w:rPr>
            </w:pPr>
            <w:r w:rsidRPr="00AF732F">
              <w:rPr>
                <w:rFonts w:hint="eastAsia"/>
                <w:kern w:val="0"/>
                <w:sz w:val="24"/>
              </w:rPr>
              <w:t>总股本</w:t>
            </w:r>
          </w:p>
        </w:tc>
        <w:tc>
          <w:tcPr>
            <w:tcW w:w="1463" w:type="pct"/>
          </w:tcPr>
          <w:p w:rsidR="006C4AAA" w:rsidRPr="006C4AAA" w:rsidRDefault="006C4AAA" w:rsidP="006C4AAA">
            <w:pPr>
              <w:adjustRightInd w:val="0"/>
              <w:snapToGrid w:val="0"/>
              <w:jc w:val="center"/>
              <w:rPr>
                <w:kern w:val="0"/>
                <w:sz w:val="24"/>
              </w:rPr>
            </w:pPr>
            <w:r w:rsidRPr="006C4AAA">
              <w:rPr>
                <w:kern w:val="0"/>
                <w:sz w:val="24"/>
              </w:rPr>
              <w:t>317,990,632</w:t>
            </w:r>
          </w:p>
        </w:tc>
        <w:tc>
          <w:tcPr>
            <w:tcW w:w="741" w:type="pct"/>
            <w:vAlign w:val="center"/>
          </w:tcPr>
          <w:p w:rsidR="006C4AAA" w:rsidRPr="00AF732F" w:rsidRDefault="00242607" w:rsidP="006C4AAA">
            <w:pPr>
              <w:adjustRightInd w:val="0"/>
              <w:snapToGrid w:val="0"/>
              <w:jc w:val="center"/>
              <w:rPr>
                <w:kern w:val="0"/>
                <w:sz w:val="24"/>
              </w:rPr>
            </w:pPr>
            <w:r>
              <w:rPr>
                <w:rFonts w:hint="eastAsia"/>
                <w:kern w:val="0"/>
                <w:sz w:val="24"/>
              </w:rPr>
              <w:t>284</w:t>
            </w:r>
          </w:p>
        </w:tc>
        <w:tc>
          <w:tcPr>
            <w:tcW w:w="1442" w:type="pct"/>
            <w:vAlign w:val="center"/>
          </w:tcPr>
          <w:p w:rsidR="006C4AAA" w:rsidRPr="00AF732F" w:rsidRDefault="00242607" w:rsidP="006C4AAA">
            <w:pPr>
              <w:adjustRightInd w:val="0"/>
              <w:snapToGrid w:val="0"/>
              <w:jc w:val="center"/>
              <w:rPr>
                <w:kern w:val="0"/>
                <w:sz w:val="24"/>
              </w:rPr>
            </w:pPr>
            <w:r w:rsidRPr="00242607">
              <w:rPr>
                <w:kern w:val="0"/>
                <w:sz w:val="24"/>
              </w:rPr>
              <w:t>317,990,916</w:t>
            </w:r>
          </w:p>
        </w:tc>
      </w:tr>
    </w:tbl>
    <w:p w:rsidR="00B131B2" w:rsidRDefault="00B131B2" w:rsidP="00B131B2">
      <w:pPr>
        <w:widowControl/>
        <w:adjustRightInd w:val="0"/>
        <w:snapToGrid w:val="0"/>
        <w:spacing w:line="360" w:lineRule="auto"/>
        <w:ind w:firstLineChars="200" w:firstLine="482"/>
        <w:rPr>
          <w:rFonts w:asciiTheme="minorEastAsia" w:eastAsiaTheme="minorEastAsia" w:hAnsiTheme="minorEastAsia" w:cs="宋体"/>
          <w:b/>
          <w:kern w:val="0"/>
          <w:sz w:val="24"/>
        </w:rPr>
      </w:pPr>
    </w:p>
    <w:p w:rsidR="00C131A2" w:rsidRPr="00B131B2" w:rsidRDefault="00E35FA4" w:rsidP="00B131B2">
      <w:pPr>
        <w:widowControl/>
        <w:adjustRightInd w:val="0"/>
        <w:snapToGrid w:val="0"/>
        <w:spacing w:line="360" w:lineRule="auto"/>
        <w:ind w:firstLineChars="200" w:firstLine="482"/>
        <w:rPr>
          <w:rFonts w:asciiTheme="minorEastAsia" w:eastAsiaTheme="minorEastAsia" w:hAnsiTheme="minorEastAsia" w:cs="宋体"/>
          <w:b/>
          <w:kern w:val="0"/>
          <w:sz w:val="24"/>
        </w:rPr>
      </w:pPr>
      <w:r w:rsidRPr="00B131B2">
        <w:rPr>
          <w:rFonts w:asciiTheme="minorEastAsia" w:eastAsiaTheme="minorEastAsia" w:hAnsiTheme="minorEastAsia" w:cs="宋体" w:hint="eastAsia"/>
          <w:b/>
          <w:kern w:val="0"/>
          <w:sz w:val="24"/>
        </w:rPr>
        <w:t>四</w:t>
      </w:r>
      <w:r w:rsidRPr="00B131B2">
        <w:rPr>
          <w:rFonts w:asciiTheme="minorEastAsia" w:eastAsiaTheme="minorEastAsia" w:hAnsiTheme="minorEastAsia" w:cs="宋体"/>
          <w:b/>
          <w:kern w:val="0"/>
          <w:sz w:val="24"/>
        </w:rPr>
        <w:t>、其他</w:t>
      </w:r>
    </w:p>
    <w:p w:rsidR="00C131A2" w:rsidRPr="00B131B2" w:rsidRDefault="00E35FA4" w:rsidP="00B131B2">
      <w:pPr>
        <w:widowControl/>
        <w:adjustRightInd w:val="0"/>
        <w:snapToGrid w:val="0"/>
        <w:spacing w:line="360" w:lineRule="auto"/>
        <w:ind w:firstLineChars="200" w:firstLine="480"/>
        <w:rPr>
          <w:rFonts w:asciiTheme="minorEastAsia" w:eastAsiaTheme="minorEastAsia" w:hAnsiTheme="minorEastAsia" w:cs="宋体"/>
          <w:kern w:val="0"/>
          <w:sz w:val="24"/>
        </w:rPr>
      </w:pPr>
      <w:r w:rsidRPr="00B131B2">
        <w:rPr>
          <w:rFonts w:asciiTheme="minorEastAsia" w:eastAsiaTheme="minorEastAsia" w:hAnsiTheme="minorEastAsia" w:cs="宋体" w:hint="eastAsia"/>
          <w:kern w:val="0"/>
          <w:sz w:val="24"/>
        </w:rPr>
        <w:t>联系部门：公司董事会办公室</w:t>
      </w:r>
    </w:p>
    <w:p w:rsidR="00C131A2" w:rsidRPr="00B131B2" w:rsidRDefault="00E35FA4" w:rsidP="00B131B2">
      <w:pPr>
        <w:widowControl/>
        <w:adjustRightInd w:val="0"/>
        <w:snapToGrid w:val="0"/>
        <w:spacing w:line="360" w:lineRule="auto"/>
        <w:ind w:firstLineChars="200" w:firstLine="480"/>
        <w:rPr>
          <w:rFonts w:asciiTheme="minorEastAsia" w:eastAsiaTheme="minorEastAsia" w:hAnsiTheme="minorEastAsia" w:cs="宋体"/>
          <w:kern w:val="0"/>
          <w:sz w:val="24"/>
        </w:rPr>
      </w:pPr>
      <w:r w:rsidRPr="00B131B2">
        <w:rPr>
          <w:rFonts w:asciiTheme="minorEastAsia" w:eastAsiaTheme="minorEastAsia" w:hAnsiTheme="minorEastAsia" w:cs="宋体" w:hint="eastAsia"/>
          <w:kern w:val="0"/>
          <w:sz w:val="24"/>
        </w:rPr>
        <w:t>联系电话：021-59715700</w:t>
      </w:r>
    </w:p>
    <w:p w:rsidR="00C414B2" w:rsidRDefault="00C414B2" w:rsidP="00B131B2">
      <w:pPr>
        <w:widowControl/>
        <w:adjustRightInd w:val="0"/>
        <w:snapToGrid w:val="0"/>
        <w:spacing w:line="360" w:lineRule="auto"/>
        <w:ind w:firstLineChars="200" w:firstLine="480"/>
        <w:rPr>
          <w:rFonts w:asciiTheme="minorEastAsia" w:eastAsiaTheme="minorEastAsia" w:hAnsiTheme="minorEastAsia" w:cs="宋体"/>
          <w:kern w:val="0"/>
          <w:sz w:val="24"/>
        </w:rPr>
      </w:pPr>
    </w:p>
    <w:p w:rsidR="00C131A2" w:rsidRPr="00B131B2" w:rsidRDefault="00E35FA4" w:rsidP="00B131B2">
      <w:pPr>
        <w:widowControl/>
        <w:adjustRightInd w:val="0"/>
        <w:snapToGrid w:val="0"/>
        <w:spacing w:line="360" w:lineRule="auto"/>
        <w:ind w:firstLineChars="200" w:firstLine="480"/>
        <w:rPr>
          <w:rFonts w:asciiTheme="minorEastAsia" w:eastAsiaTheme="minorEastAsia" w:hAnsiTheme="minorEastAsia" w:cs="宋体"/>
          <w:kern w:val="0"/>
          <w:sz w:val="24"/>
        </w:rPr>
      </w:pPr>
      <w:r w:rsidRPr="00B131B2">
        <w:rPr>
          <w:rFonts w:asciiTheme="minorEastAsia" w:eastAsiaTheme="minorEastAsia" w:hAnsiTheme="minorEastAsia" w:cs="宋体" w:hint="eastAsia"/>
          <w:kern w:val="0"/>
          <w:sz w:val="24"/>
        </w:rPr>
        <w:t>特此公告。</w:t>
      </w:r>
    </w:p>
    <w:p w:rsidR="00C131A2" w:rsidRPr="00B131B2" w:rsidRDefault="00E35FA4" w:rsidP="00B131B2">
      <w:pPr>
        <w:adjustRightInd w:val="0"/>
        <w:snapToGrid w:val="0"/>
        <w:spacing w:line="360" w:lineRule="auto"/>
        <w:jc w:val="right"/>
        <w:rPr>
          <w:rFonts w:asciiTheme="minorEastAsia" w:eastAsiaTheme="minorEastAsia" w:hAnsiTheme="minorEastAsia"/>
          <w:bCs/>
          <w:sz w:val="24"/>
        </w:rPr>
      </w:pPr>
      <w:r w:rsidRPr="00B131B2">
        <w:rPr>
          <w:rFonts w:asciiTheme="minorEastAsia" w:eastAsiaTheme="minorEastAsia" w:hAnsiTheme="minorEastAsia" w:cs="宋体" w:hint="eastAsia"/>
          <w:kern w:val="0"/>
          <w:sz w:val="24"/>
        </w:rPr>
        <w:t>上海沪工焊接集团股份有限公司董事会</w:t>
      </w:r>
    </w:p>
    <w:p w:rsidR="00C131A2" w:rsidRPr="00B131B2" w:rsidRDefault="00E35FA4" w:rsidP="00B131B2">
      <w:pPr>
        <w:adjustRightInd w:val="0"/>
        <w:snapToGrid w:val="0"/>
        <w:spacing w:line="360" w:lineRule="auto"/>
        <w:ind w:firstLineChars="2050" w:firstLine="4920"/>
        <w:jc w:val="right"/>
        <w:rPr>
          <w:rFonts w:asciiTheme="minorEastAsia" w:eastAsiaTheme="minorEastAsia" w:hAnsiTheme="minorEastAsia"/>
          <w:bCs/>
          <w:sz w:val="24"/>
        </w:rPr>
      </w:pPr>
      <w:r w:rsidRPr="00B131B2">
        <w:rPr>
          <w:rFonts w:asciiTheme="minorEastAsia" w:eastAsiaTheme="minorEastAsia" w:hAnsiTheme="minorEastAsia" w:hint="eastAsia"/>
          <w:bCs/>
          <w:sz w:val="24"/>
        </w:rPr>
        <w:t>20</w:t>
      </w:r>
      <w:r w:rsidR="000E02F1">
        <w:rPr>
          <w:rFonts w:asciiTheme="minorEastAsia" w:eastAsiaTheme="minorEastAsia" w:hAnsiTheme="minorEastAsia"/>
          <w:bCs/>
          <w:sz w:val="24"/>
        </w:rPr>
        <w:t>24</w:t>
      </w:r>
      <w:r w:rsidRPr="00B131B2">
        <w:rPr>
          <w:rFonts w:asciiTheme="minorEastAsia" w:eastAsiaTheme="minorEastAsia" w:hAnsiTheme="minorEastAsia" w:hint="eastAsia"/>
          <w:bCs/>
          <w:sz w:val="24"/>
        </w:rPr>
        <w:t>年</w:t>
      </w:r>
      <w:r w:rsidR="006C4AAA">
        <w:rPr>
          <w:rFonts w:asciiTheme="minorEastAsia" w:eastAsiaTheme="minorEastAsia" w:hAnsiTheme="minorEastAsia"/>
          <w:bCs/>
          <w:sz w:val="24"/>
        </w:rPr>
        <w:t>7</w:t>
      </w:r>
      <w:r w:rsidRPr="00B131B2">
        <w:rPr>
          <w:rFonts w:asciiTheme="minorEastAsia" w:eastAsiaTheme="minorEastAsia" w:hAnsiTheme="minorEastAsia" w:hint="eastAsia"/>
          <w:bCs/>
          <w:sz w:val="24"/>
        </w:rPr>
        <w:t>月</w:t>
      </w:r>
      <w:r w:rsidR="000A6ED7">
        <w:rPr>
          <w:rFonts w:asciiTheme="minorEastAsia" w:eastAsiaTheme="minorEastAsia" w:hAnsiTheme="minorEastAsia" w:hint="eastAsia"/>
          <w:bCs/>
          <w:sz w:val="24"/>
        </w:rPr>
        <w:t>2</w:t>
      </w:r>
      <w:r w:rsidRPr="00B131B2">
        <w:rPr>
          <w:rFonts w:asciiTheme="minorEastAsia" w:eastAsiaTheme="minorEastAsia" w:hAnsiTheme="minorEastAsia" w:hint="eastAsia"/>
          <w:bCs/>
          <w:sz w:val="24"/>
        </w:rPr>
        <w:t>日</w:t>
      </w:r>
    </w:p>
    <w:sectPr w:rsidR="00C131A2" w:rsidRPr="00B13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00" w:rsidRDefault="00E97500" w:rsidP="00AF732F">
      <w:r>
        <w:separator/>
      </w:r>
    </w:p>
  </w:endnote>
  <w:endnote w:type="continuationSeparator" w:id="0">
    <w:p w:rsidR="00E97500" w:rsidRDefault="00E97500" w:rsidP="00AF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00" w:rsidRDefault="00E97500" w:rsidP="00AF732F">
      <w:r>
        <w:separator/>
      </w:r>
    </w:p>
  </w:footnote>
  <w:footnote w:type="continuationSeparator" w:id="0">
    <w:p w:rsidR="00E97500" w:rsidRDefault="00E97500" w:rsidP="00AF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15925"/>
    <w:multiLevelType w:val="multilevel"/>
    <w:tmpl w:val="73D1592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41"/>
    <w:rsid w:val="00055C75"/>
    <w:rsid w:val="000652FC"/>
    <w:rsid w:val="00094F48"/>
    <w:rsid w:val="000A6ED7"/>
    <w:rsid w:val="000D1321"/>
    <w:rsid w:val="000E02F1"/>
    <w:rsid w:val="000F422B"/>
    <w:rsid w:val="000F7C37"/>
    <w:rsid w:val="00101C24"/>
    <w:rsid w:val="00114BC4"/>
    <w:rsid w:val="00131F15"/>
    <w:rsid w:val="00155EED"/>
    <w:rsid w:val="001C5DD3"/>
    <w:rsid w:val="001E0D48"/>
    <w:rsid w:val="001F3B81"/>
    <w:rsid w:val="00232823"/>
    <w:rsid w:val="00242607"/>
    <w:rsid w:val="0025166F"/>
    <w:rsid w:val="002577DE"/>
    <w:rsid w:val="00262CC8"/>
    <w:rsid w:val="002A64FC"/>
    <w:rsid w:val="002A70B9"/>
    <w:rsid w:val="002C463E"/>
    <w:rsid w:val="002D5D95"/>
    <w:rsid w:val="00375076"/>
    <w:rsid w:val="00404AD3"/>
    <w:rsid w:val="00497399"/>
    <w:rsid w:val="004A4663"/>
    <w:rsid w:val="004C2F65"/>
    <w:rsid w:val="004F7652"/>
    <w:rsid w:val="00533C32"/>
    <w:rsid w:val="00540484"/>
    <w:rsid w:val="0055267F"/>
    <w:rsid w:val="00566DB7"/>
    <w:rsid w:val="005A2FB9"/>
    <w:rsid w:val="005E3D65"/>
    <w:rsid w:val="00614EE0"/>
    <w:rsid w:val="006368DA"/>
    <w:rsid w:val="006758B0"/>
    <w:rsid w:val="0069770B"/>
    <w:rsid w:val="006B6BF5"/>
    <w:rsid w:val="006C4AAA"/>
    <w:rsid w:val="006F142A"/>
    <w:rsid w:val="007304AD"/>
    <w:rsid w:val="00775946"/>
    <w:rsid w:val="00777039"/>
    <w:rsid w:val="007B430E"/>
    <w:rsid w:val="007C1D4F"/>
    <w:rsid w:val="007C2848"/>
    <w:rsid w:val="008127DE"/>
    <w:rsid w:val="00813322"/>
    <w:rsid w:val="00825DC1"/>
    <w:rsid w:val="0086593D"/>
    <w:rsid w:val="008809D8"/>
    <w:rsid w:val="008905B6"/>
    <w:rsid w:val="008A1EE1"/>
    <w:rsid w:val="008A2E03"/>
    <w:rsid w:val="008A7A12"/>
    <w:rsid w:val="008E405C"/>
    <w:rsid w:val="00901250"/>
    <w:rsid w:val="009062BC"/>
    <w:rsid w:val="009310E4"/>
    <w:rsid w:val="009354DB"/>
    <w:rsid w:val="009424CC"/>
    <w:rsid w:val="009F1BB9"/>
    <w:rsid w:val="00A3724F"/>
    <w:rsid w:val="00A7130D"/>
    <w:rsid w:val="00AA5747"/>
    <w:rsid w:val="00AE6CB4"/>
    <w:rsid w:val="00AF3ACD"/>
    <w:rsid w:val="00AF732F"/>
    <w:rsid w:val="00B0536B"/>
    <w:rsid w:val="00B131B2"/>
    <w:rsid w:val="00B139C8"/>
    <w:rsid w:val="00B16011"/>
    <w:rsid w:val="00B5286E"/>
    <w:rsid w:val="00B5665A"/>
    <w:rsid w:val="00B74C52"/>
    <w:rsid w:val="00B821A6"/>
    <w:rsid w:val="00B824F9"/>
    <w:rsid w:val="00B84FA4"/>
    <w:rsid w:val="00BC1BF8"/>
    <w:rsid w:val="00BC543B"/>
    <w:rsid w:val="00BF47ED"/>
    <w:rsid w:val="00C131A2"/>
    <w:rsid w:val="00C21082"/>
    <w:rsid w:val="00C414B2"/>
    <w:rsid w:val="00C4419F"/>
    <w:rsid w:val="00C527FE"/>
    <w:rsid w:val="00C8211B"/>
    <w:rsid w:val="00C83D9D"/>
    <w:rsid w:val="00C9770A"/>
    <w:rsid w:val="00CC1D4F"/>
    <w:rsid w:val="00CC7E84"/>
    <w:rsid w:val="00CE4ED9"/>
    <w:rsid w:val="00D358F9"/>
    <w:rsid w:val="00D36241"/>
    <w:rsid w:val="00D37760"/>
    <w:rsid w:val="00D41F86"/>
    <w:rsid w:val="00D4691C"/>
    <w:rsid w:val="00D51405"/>
    <w:rsid w:val="00D547A8"/>
    <w:rsid w:val="00D73B8D"/>
    <w:rsid w:val="00D834F2"/>
    <w:rsid w:val="00DA5879"/>
    <w:rsid w:val="00E01CDE"/>
    <w:rsid w:val="00E137AD"/>
    <w:rsid w:val="00E1509C"/>
    <w:rsid w:val="00E21321"/>
    <w:rsid w:val="00E35FA4"/>
    <w:rsid w:val="00E44B5D"/>
    <w:rsid w:val="00E53BF7"/>
    <w:rsid w:val="00E5445B"/>
    <w:rsid w:val="00E72554"/>
    <w:rsid w:val="00E73E69"/>
    <w:rsid w:val="00E97500"/>
    <w:rsid w:val="00EA227E"/>
    <w:rsid w:val="00F04AD8"/>
    <w:rsid w:val="00F068FB"/>
    <w:rsid w:val="00F06CC4"/>
    <w:rsid w:val="00F12771"/>
    <w:rsid w:val="00F26233"/>
    <w:rsid w:val="00F8448A"/>
    <w:rsid w:val="00F86F4C"/>
    <w:rsid w:val="00FD3200"/>
    <w:rsid w:val="02BB53B6"/>
    <w:rsid w:val="0A621F49"/>
    <w:rsid w:val="0C370584"/>
    <w:rsid w:val="147C7CBE"/>
    <w:rsid w:val="16A97393"/>
    <w:rsid w:val="18F01480"/>
    <w:rsid w:val="1DD565E4"/>
    <w:rsid w:val="2C560DF0"/>
    <w:rsid w:val="2E8B2C72"/>
    <w:rsid w:val="2EFB6D15"/>
    <w:rsid w:val="2F6A501F"/>
    <w:rsid w:val="350E0C72"/>
    <w:rsid w:val="3E351EEA"/>
    <w:rsid w:val="3F1A506C"/>
    <w:rsid w:val="45C63ADF"/>
    <w:rsid w:val="4A717BF0"/>
    <w:rsid w:val="527E1A97"/>
    <w:rsid w:val="543D44DE"/>
    <w:rsid w:val="54B378E2"/>
    <w:rsid w:val="57392664"/>
    <w:rsid w:val="585746CB"/>
    <w:rsid w:val="59091E4F"/>
    <w:rsid w:val="592C3957"/>
    <w:rsid w:val="5AA76D5E"/>
    <w:rsid w:val="5ED52856"/>
    <w:rsid w:val="62EC5BD4"/>
    <w:rsid w:val="6B190C0B"/>
    <w:rsid w:val="6FD55996"/>
    <w:rsid w:val="72B05673"/>
    <w:rsid w:val="74C8357A"/>
    <w:rsid w:val="776430C0"/>
    <w:rsid w:val="7F5D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9453E-A434-49E4-89BB-56F97B7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32F"/>
    <w:rPr>
      <w:rFonts w:ascii="Times New Roman" w:eastAsia="宋体" w:hAnsi="Times New Roman" w:cs="Times New Roman"/>
      <w:kern w:val="2"/>
      <w:sz w:val="18"/>
      <w:szCs w:val="18"/>
    </w:rPr>
  </w:style>
  <w:style w:type="paragraph" w:styleId="a4">
    <w:name w:val="footer"/>
    <w:basedOn w:val="a"/>
    <w:link w:val="Char0"/>
    <w:uiPriority w:val="99"/>
    <w:unhideWhenUsed/>
    <w:rsid w:val="00AF732F"/>
    <w:pPr>
      <w:tabs>
        <w:tab w:val="center" w:pos="4153"/>
        <w:tab w:val="right" w:pos="8306"/>
      </w:tabs>
      <w:snapToGrid w:val="0"/>
      <w:jc w:val="left"/>
    </w:pPr>
    <w:rPr>
      <w:sz w:val="18"/>
      <w:szCs w:val="18"/>
    </w:rPr>
  </w:style>
  <w:style w:type="character" w:customStyle="1" w:styleId="Char0">
    <w:name w:val="页脚 Char"/>
    <w:basedOn w:val="a0"/>
    <w:link w:val="a4"/>
    <w:uiPriority w:val="99"/>
    <w:rsid w:val="00AF732F"/>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55267F"/>
    <w:rPr>
      <w:sz w:val="18"/>
      <w:szCs w:val="18"/>
    </w:rPr>
  </w:style>
  <w:style w:type="character" w:customStyle="1" w:styleId="Char1">
    <w:name w:val="批注框文本 Char"/>
    <w:basedOn w:val="a0"/>
    <w:link w:val="a5"/>
    <w:uiPriority w:val="99"/>
    <w:semiHidden/>
    <w:rsid w:val="0055267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黄晶晶</dc:creator>
  <cp:lastModifiedBy>jingjing.huang(HG-黄晶晶)</cp:lastModifiedBy>
  <cp:revision>69</cp:revision>
  <cp:lastPrinted>2024-06-17T03:34:00Z</cp:lastPrinted>
  <dcterms:created xsi:type="dcterms:W3CDTF">2022-06-30T02:52:00Z</dcterms:created>
  <dcterms:modified xsi:type="dcterms:W3CDTF">2024-07-01T00:33:00Z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2E33C8F59AB34E19837DADC2D51B965B</vt:lpwstr>
  </property>
</Properties>
</file>